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8" w:lineRule="auto"/>
        <w:rPr>
          <w:rFonts w:ascii="Arial"/>
          <w:sz w:val="21"/>
        </w:rPr>
      </w:pPr>
    </w:p>
    <w:p>
      <w:pPr>
        <w:spacing w:line="279" w:lineRule="auto"/>
        <w:rPr>
          <w:rFonts w:ascii="Arial"/>
          <w:sz w:val="21"/>
        </w:rPr>
      </w:pPr>
    </w:p>
    <w:p>
      <w:pPr>
        <w:spacing w:before="91" w:line="225" w:lineRule="auto"/>
        <w:ind w:left="715"/>
        <w:rPr>
          <w:rFonts w:ascii="黑体" w:hAnsi="黑体" w:eastAsia="黑体" w:cs="黑体"/>
          <w:sz w:val="28"/>
          <w:szCs w:val="28"/>
        </w:rPr>
      </w:pPr>
      <w:r>
        <w:rPr>
          <w:rFonts w:ascii="黑体" w:hAnsi="黑体" w:eastAsia="黑体" w:cs="黑体"/>
          <w:spacing w:val="-9"/>
          <w:sz w:val="28"/>
          <w:szCs w:val="28"/>
        </w:rPr>
        <w:t>附件</w:t>
      </w:r>
      <w:r>
        <w:rPr>
          <w:rFonts w:ascii="黑体" w:hAnsi="黑体" w:eastAsia="黑体" w:cs="黑体"/>
          <w:spacing w:val="-44"/>
          <w:sz w:val="28"/>
          <w:szCs w:val="28"/>
        </w:rPr>
        <w:t xml:space="preserve"> </w:t>
      </w:r>
      <w:r>
        <w:rPr>
          <w:rFonts w:ascii="黑体" w:hAnsi="黑体" w:eastAsia="黑体" w:cs="黑体"/>
          <w:spacing w:val="-9"/>
          <w:sz w:val="28"/>
          <w:szCs w:val="28"/>
        </w:rPr>
        <w:t>1</w:t>
      </w:r>
    </w:p>
    <w:p>
      <w:pPr>
        <w:spacing w:before="76" w:line="495" w:lineRule="exact"/>
        <w:jc w:val="center"/>
        <w:outlineLvl w:val="0"/>
        <w:rPr>
          <w:rFonts w:ascii="宋体" w:hAnsi="宋体" w:eastAsia="宋体" w:cs="宋体"/>
          <w:sz w:val="35"/>
          <w:szCs w:val="35"/>
        </w:rPr>
      </w:pPr>
      <w:r>
        <w:rPr>
          <w:rFonts w:ascii="宋体" w:hAnsi="宋体" w:eastAsia="宋体" w:cs="宋体"/>
          <w:b/>
          <w:bCs/>
          <w:spacing w:val="5"/>
          <w:position w:val="2"/>
          <w:sz w:val="35"/>
          <w:szCs w:val="35"/>
        </w:rPr>
        <w:t>岗位职责及任职资格条件</w:t>
      </w:r>
    </w:p>
    <w:p>
      <w:pPr>
        <w:spacing w:before="84"/>
      </w:pPr>
    </w:p>
    <w:p>
      <w:pPr>
        <w:spacing w:before="84"/>
      </w:pPr>
    </w:p>
    <w:tbl>
      <w:tblPr>
        <w:tblStyle w:val="6"/>
        <w:tblW w:w="101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40"/>
        <w:gridCol w:w="760"/>
        <w:gridCol w:w="930"/>
        <w:gridCol w:w="4834"/>
        <w:gridCol w:w="23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8" w:hRule="atLeast"/>
        </w:trPr>
        <w:tc>
          <w:tcPr>
            <w:tcW w:w="511" w:type="dxa"/>
            <w:tcBorders>
              <w:bottom w:val="single" w:color="auto" w:sz="4" w:space="0"/>
            </w:tcBorders>
            <w:vAlign w:val="center"/>
          </w:tcPr>
          <w:p>
            <w:pPr>
              <w:spacing w:before="65" w:line="231" w:lineRule="auto"/>
              <w:jc w:val="center"/>
              <w:rPr>
                <w:rFonts w:ascii="黑体" w:hAnsi="黑体" w:eastAsia="黑体" w:cs="黑体"/>
                <w:sz w:val="20"/>
                <w:szCs w:val="20"/>
              </w:rPr>
            </w:pPr>
            <w:r>
              <w:rPr>
                <w:rFonts w:ascii="黑体" w:hAnsi="黑体" w:eastAsia="黑体" w:cs="黑体"/>
                <w:spacing w:val="4"/>
                <w:sz w:val="20"/>
                <w:szCs w:val="20"/>
              </w:rPr>
              <w:t>序号</w:t>
            </w:r>
          </w:p>
        </w:tc>
        <w:tc>
          <w:tcPr>
            <w:tcW w:w="740" w:type="dxa"/>
            <w:tcBorders>
              <w:bottom w:val="single" w:color="auto" w:sz="4" w:space="0"/>
            </w:tcBorders>
            <w:vAlign w:val="center"/>
          </w:tcPr>
          <w:p>
            <w:pPr>
              <w:spacing w:before="251" w:line="289" w:lineRule="auto"/>
              <w:ind w:left="165" w:right="162" w:firstLine="11"/>
              <w:jc w:val="center"/>
              <w:rPr>
                <w:rFonts w:ascii="黑体" w:hAnsi="黑体" w:eastAsia="黑体" w:cs="黑体"/>
                <w:sz w:val="20"/>
                <w:szCs w:val="20"/>
              </w:rPr>
            </w:pPr>
            <w:r>
              <w:rPr>
                <w:rFonts w:ascii="黑体" w:hAnsi="黑体" w:eastAsia="黑体" w:cs="黑体"/>
                <w:spacing w:val="-2"/>
                <w:sz w:val="20"/>
                <w:szCs w:val="20"/>
              </w:rPr>
              <w:t>岗位</w:t>
            </w:r>
            <w:r>
              <w:rPr>
                <w:rFonts w:ascii="黑体" w:hAnsi="黑体" w:eastAsia="黑体" w:cs="黑体"/>
                <w:spacing w:val="3"/>
                <w:sz w:val="20"/>
                <w:szCs w:val="20"/>
              </w:rPr>
              <w:t>名称</w:t>
            </w:r>
          </w:p>
        </w:tc>
        <w:tc>
          <w:tcPr>
            <w:tcW w:w="760" w:type="dxa"/>
            <w:tcBorders>
              <w:bottom w:val="single" w:color="auto" w:sz="4" w:space="0"/>
            </w:tcBorders>
            <w:vAlign w:val="center"/>
          </w:tcPr>
          <w:p>
            <w:pPr>
              <w:spacing w:before="252" w:line="289" w:lineRule="auto"/>
              <w:ind w:left="154" w:right="152"/>
              <w:jc w:val="center"/>
              <w:rPr>
                <w:rFonts w:ascii="黑体" w:hAnsi="黑体" w:eastAsia="黑体" w:cs="黑体"/>
                <w:sz w:val="20"/>
                <w:szCs w:val="20"/>
              </w:rPr>
            </w:pPr>
            <w:r>
              <w:rPr>
                <w:rFonts w:ascii="黑体" w:hAnsi="黑体" w:eastAsia="黑体" w:cs="黑体"/>
                <w:spacing w:val="5"/>
                <w:sz w:val="20"/>
                <w:szCs w:val="20"/>
              </w:rPr>
              <w:t>招聘</w:t>
            </w:r>
            <w:r>
              <w:rPr>
                <w:rFonts w:ascii="黑体" w:hAnsi="黑体" w:eastAsia="黑体" w:cs="黑体"/>
                <w:spacing w:val="4"/>
                <w:sz w:val="20"/>
                <w:szCs w:val="20"/>
              </w:rPr>
              <w:t>职数</w:t>
            </w:r>
          </w:p>
        </w:tc>
        <w:tc>
          <w:tcPr>
            <w:tcW w:w="930" w:type="dxa"/>
            <w:tcBorders>
              <w:bottom w:val="single" w:color="auto" w:sz="4" w:space="0"/>
            </w:tcBorders>
            <w:vAlign w:val="center"/>
          </w:tcPr>
          <w:p>
            <w:pPr>
              <w:spacing w:before="65" w:line="229" w:lineRule="auto"/>
              <w:jc w:val="center"/>
              <w:rPr>
                <w:rFonts w:ascii="黑体" w:hAnsi="黑体" w:eastAsia="黑体" w:cs="黑体"/>
                <w:sz w:val="20"/>
                <w:szCs w:val="20"/>
              </w:rPr>
            </w:pPr>
            <w:r>
              <w:rPr>
                <w:rFonts w:ascii="黑体" w:hAnsi="黑体" w:eastAsia="黑体" w:cs="黑体"/>
                <w:spacing w:val="4"/>
                <w:sz w:val="20"/>
                <w:szCs w:val="20"/>
              </w:rPr>
              <w:t>岗位概要</w:t>
            </w:r>
          </w:p>
        </w:tc>
        <w:tc>
          <w:tcPr>
            <w:tcW w:w="4834" w:type="dxa"/>
            <w:tcBorders>
              <w:bottom w:val="single" w:color="auto" w:sz="4" w:space="0"/>
            </w:tcBorders>
            <w:vAlign w:val="center"/>
          </w:tcPr>
          <w:p>
            <w:pPr>
              <w:spacing w:before="65" w:line="229" w:lineRule="auto"/>
              <w:jc w:val="center"/>
              <w:rPr>
                <w:rFonts w:ascii="黑体" w:hAnsi="黑体" w:eastAsia="黑体" w:cs="黑体"/>
                <w:sz w:val="20"/>
                <w:szCs w:val="20"/>
              </w:rPr>
            </w:pPr>
            <w:r>
              <w:rPr>
                <w:rFonts w:ascii="黑体" w:hAnsi="黑体" w:eastAsia="黑体" w:cs="黑体"/>
                <w:spacing w:val="4"/>
                <w:sz w:val="20"/>
                <w:szCs w:val="20"/>
              </w:rPr>
              <w:t>岗位职责</w:t>
            </w:r>
          </w:p>
        </w:tc>
        <w:tc>
          <w:tcPr>
            <w:tcW w:w="2331" w:type="dxa"/>
            <w:vAlign w:val="center"/>
          </w:tcPr>
          <w:p>
            <w:pPr>
              <w:spacing w:before="91" w:line="230" w:lineRule="auto"/>
              <w:jc w:val="center"/>
              <w:rPr>
                <w:rFonts w:hint="default" w:ascii="黑体" w:hAnsi="黑体" w:eastAsia="黑体" w:cs="黑体"/>
                <w:sz w:val="20"/>
                <w:szCs w:val="20"/>
                <w:lang w:val="en-US" w:eastAsia="zh-CN"/>
              </w:rPr>
            </w:pPr>
            <w:r>
              <w:rPr>
                <w:rFonts w:hint="eastAsia" w:ascii="黑体" w:hAnsi="黑体" w:eastAsia="黑体" w:cs="黑体"/>
                <w:sz w:val="20"/>
                <w:szCs w:val="20"/>
                <w:lang w:val="en-US" w:eastAsia="zh-CN"/>
              </w:rPr>
              <w:t>任职资格条件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1" w:hRule="atLeast"/>
        </w:trPr>
        <w:tc>
          <w:tcPr>
            <w:tcW w:w="511" w:type="dxa"/>
            <w:tcBorders>
              <w:top w:val="single" w:color="auto" w:sz="4" w:space="0"/>
            </w:tcBorders>
            <w:vAlign w:val="center"/>
          </w:tcPr>
          <w:p>
            <w:pPr>
              <w:pStyle w:val="7"/>
              <w:spacing w:before="62" w:line="257" w:lineRule="exact"/>
              <w:jc w:val="center"/>
            </w:pPr>
            <w:r>
              <w:rPr>
                <w:position w:val="1"/>
              </w:rPr>
              <w:t>1</w:t>
            </w:r>
          </w:p>
        </w:tc>
        <w:tc>
          <w:tcPr>
            <w:tcW w:w="740" w:type="dxa"/>
            <w:tcBorders>
              <w:top w:val="single" w:color="auto" w:sz="4" w:space="0"/>
            </w:tcBorders>
            <w:vAlign w:val="center"/>
          </w:tcPr>
          <w:p>
            <w:pPr>
              <w:pStyle w:val="7"/>
              <w:spacing w:before="62" w:line="216" w:lineRule="auto"/>
              <w:ind w:left="171" w:right="172" w:firstLine="9"/>
              <w:jc w:val="center"/>
            </w:pPr>
            <w:r>
              <w:rPr>
                <w:rFonts w:hint="default"/>
                <w:lang w:val="en-US" w:eastAsia="zh-CN"/>
              </w:rPr>
              <w:t>动力作业区电气技术员</w:t>
            </w:r>
          </w:p>
        </w:tc>
        <w:tc>
          <w:tcPr>
            <w:tcW w:w="760" w:type="dxa"/>
            <w:tcBorders>
              <w:top w:val="single" w:color="auto" w:sz="4" w:space="0"/>
            </w:tcBorders>
            <w:vAlign w:val="center"/>
          </w:tcPr>
          <w:p>
            <w:pPr>
              <w:pStyle w:val="7"/>
              <w:spacing w:before="62" w:line="257" w:lineRule="exact"/>
              <w:jc w:val="center"/>
            </w:pPr>
            <w:r>
              <w:rPr>
                <w:position w:val="1"/>
              </w:rPr>
              <w:t>1</w:t>
            </w:r>
          </w:p>
        </w:tc>
        <w:tc>
          <w:tcPr>
            <w:tcW w:w="930" w:type="dxa"/>
            <w:tcBorders>
              <w:top w:val="single" w:color="auto" w:sz="4" w:space="0"/>
            </w:tcBorders>
            <w:vAlign w:val="center"/>
          </w:tcPr>
          <w:p>
            <w:pPr>
              <w:pStyle w:val="7"/>
              <w:spacing w:before="61" w:line="216" w:lineRule="auto"/>
              <w:ind w:right="107"/>
              <w:jc w:val="both"/>
              <w:rPr>
                <w:highlight w:val="yellow"/>
              </w:rPr>
            </w:pPr>
            <w:r>
              <w:rPr>
                <w:rFonts w:hint="eastAsia"/>
                <w:highlight w:val="none"/>
                <w:lang w:val="en-US" w:eastAsia="zh-CN"/>
              </w:rPr>
              <w:t>负责公司供电系统、高低压电气设备智能应用管理、 自动化等技术升级改造、运行维护管理。</w:t>
            </w:r>
          </w:p>
        </w:tc>
        <w:tc>
          <w:tcPr>
            <w:tcW w:w="4834" w:type="dxa"/>
            <w:tcBorders>
              <w:top w:val="single" w:color="auto" w:sz="4" w:space="0"/>
            </w:tcBorders>
            <w:vAlign w:val="center"/>
          </w:tcPr>
          <w:p>
            <w:pPr>
              <w:pStyle w:val="7"/>
              <w:spacing w:before="1" w:line="221" w:lineRule="auto"/>
              <w:ind w:left="115" w:right="298"/>
              <w:jc w:val="both"/>
              <w:rPr>
                <w:rFonts w:hint="eastAsia"/>
                <w:highlight w:val="none"/>
                <w:lang w:val="en-US" w:eastAsia="zh-CN"/>
              </w:rPr>
            </w:pPr>
            <w:r>
              <w:rPr>
                <w:rFonts w:hint="eastAsia"/>
                <w:highlight w:val="none"/>
                <w:lang w:val="en-US" w:eastAsia="zh-CN"/>
              </w:rPr>
              <w:t>1.负责公司供电系统、整流系统、高低压配电室及供电线路的智能化水平提升、智能化升级改造项目全过程管理、数字化档案管理。</w:t>
            </w:r>
          </w:p>
          <w:p>
            <w:pPr>
              <w:pStyle w:val="7"/>
              <w:spacing w:before="1" w:line="221" w:lineRule="auto"/>
              <w:ind w:left="115" w:right="298"/>
              <w:jc w:val="both"/>
              <w:rPr>
                <w:rFonts w:hint="eastAsia"/>
                <w:highlight w:val="none"/>
              </w:rPr>
            </w:pPr>
            <w:r>
              <w:rPr>
                <w:rFonts w:hint="eastAsia"/>
                <w:highlight w:val="none"/>
                <w:lang w:val="en-US" w:eastAsia="zh-CN"/>
              </w:rPr>
              <w:t>2.</w:t>
            </w:r>
            <w:r>
              <w:rPr>
                <w:rFonts w:hint="default"/>
                <w:highlight w:val="none"/>
                <w:lang w:val="en-US" w:eastAsia="zh-CN"/>
              </w:rPr>
              <w:t>负责</w:t>
            </w:r>
            <w:r>
              <w:rPr>
                <w:rFonts w:hint="eastAsia"/>
                <w:highlight w:val="none"/>
                <w:lang w:val="en-US" w:eastAsia="zh-CN"/>
              </w:rPr>
              <w:t>公司</w:t>
            </w:r>
            <w:r>
              <w:rPr>
                <w:rFonts w:hint="default"/>
                <w:highlight w:val="none"/>
                <w:lang w:val="en-US" w:eastAsia="zh-CN"/>
              </w:rPr>
              <w:t>电气设备的预防性维护和周期性检修计划编制与实施</w:t>
            </w:r>
            <w:r>
              <w:rPr>
                <w:rFonts w:hint="eastAsia"/>
                <w:highlight w:val="none"/>
                <w:lang w:val="en-US" w:eastAsia="zh-CN"/>
              </w:rPr>
              <w:t>；电气设备备品件计划申报与备用状态全流程管理</w:t>
            </w:r>
            <w:r>
              <w:rPr>
                <w:rFonts w:hint="default"/>
                <w:highlight w:val="none"/>
                <w:lang w:val="en-US" w:eastAsia="zh-CN"/>
              </w:rPr>
              <w:t>。</w:t>
            </w:r>
          </w:p>
          <w:p>
            <w:pPr>
              <w:pStyle w:val="7"/>
              <w:spacing w:before="1" w:line="221" w:lineRule="auto"/>
              <w:ind w:left="115" w:right="298"/>
              <w:jc w:val="both"/>
              <w:rPr>
                <w:rFonts w:hint="eastAsia"/>
                <w:highlight w:val="none"/>
              </w:rPr>
            </w:pPr>
            <w:r>
              <w:rPr>
                <w:rFonts w:hint="eastAsia"/>
                <w:highlight w:val="none"/>
                <w:lang w:val="en-US" w:eastAsia="zh-CN"/>
              </w:rPr>
              <w:t>3.</w:t>
            </w:r>
            <w:r>
              <w:rPr>
                <w:rFonts w:hint="eastAsia"/>
                <w:highlight w:val="none"/>
              </w:rPr>
              <w:t>负责</w:t>
            </w:r>
            <w:r>
              <w:rPr>
                <w:rFonts w:hint="eastAsia"/>
                <w:highlight w:val="none"/>
                <w:lang w:val="en-US" w:eastAsia="zh-CN"/>
              </w:rPr>
              <w:t>组织</w:t>
            </w:r>
            <w:r>
              <w:rPr>
                <w:rFonts w:hint="eastAsia"/>
                <w:highlight w:val="none"/>
              </w:rPr>
              <w:t>电气</w:t>
            </w:r>
            <w:r>
              <w:rPr>
                <w:rFonts w:hint="eastAsia"/>
                <w:highlight w:val="none"/>
                <w:lang w:val="en-US" w:eastAsia="zh-CN"/>
              </w:rPr>
              <w:t>自动化</w:t>
            </w:r>
            <w:r>
              <w:rPr>
                <w:rFonts w:hint="eastAsia"/>
                <w:highlight w:val="none"/>
              </w:rPr>
              <w:t>设备</w:t>
            </w:r>
            <w:r>
              <w:rPr>
                <w:rFonts w:hint="eastAsia"/>
                <w:highlight w:val="none"/>
                <w:lang w:val="en-US" w:eastAsia="zh-CN"/>
              </w:rPr>
              <w:t>在线保养、点巡检、</w:t>
            </w:r>
            <w:r>
              <w:rPr>
                <w:rFonts w:hint="eastAsia"/>
                <w:highlight w:val="none"/>
              </w:rPr>
              <w:t>隐患排查和治理。</w:t>
            </w:r>
          </w:p>
          <w:p>
            <w:pPr>
              <w:pStyle w:val="7"/>
              <w:spacing w:before="1" w:line="221" w:lineRule="auto"/>
              <w:ind w:left="115" w:right="298"/>
              <w:jc w:val="both"/>
              <w:rPr>
                <w:rFonts w:hint="eastAsia"/>
                <w:highlight w:val="none"/>
              </w:rPr>
            </w:pPr>
            <w:r>
              <w:rPr>
                <w:rFonts w:hint="eastAsia"/>
                <w:highlight w:val="none"/>
                <w:lang w:val="en-US" w:eastAsia="zh-CN"/>
              </w:rPr>
              <w:t>4.负责公司电气自动化设备</w:t>
            </w:r>
            <w:r>
              <w:rPr>
                <w:rFonts w:hint="eastAsia"/>
                <w:highlight w:val="none"/>
              </w:rPr>
              <w:t>安全生产规章制度</w:t>
            </w:r>
            <w:r>
              <w:rPr>
                <w:rFonts w:hint="eastAsia"/>
                <w:highlight w:val="none"/>
                <w:lang w:eastAsia="zh-CN"/>
              </w:rPr>
              <w:t>、</w:t>
            </w:r>
            <w:r>
              <w:rPr>
                <w:rFonts w:hint="eastAsia"/>
                <w:highlight w:val="none"/>
                <w:lang w:val="en-US" w:eastAsia="zh-CN"/>
              </w:rPr>
              <w:t>智能化操作手册</w:t>
            </w:r>
            <w:r>
              <w:rPr>
                <w:rFonts w:hint="eastAsia"/>
                <w:highlight w:val="none"/>
                <w:lang w:eastAsia="zh-CN"/>
              </w:rPr>
              <w:t>、</w:t>
            </w:r>
            <w:r>
              <w:rPr>
                <w:rFonts w:hint="eastAsia"/>
                <w:highlight w:val="none"/>
                <w:lang w:val="en-US" w:eastAsia="zh-CN"/>
              </w:rPr>
              <w:t>应急管理等方面的制度初稿编制</w:t>
            </w:r>
            <w:r>
              <w:rPr>
                <w:rFonts w:hint="eastAsia"/>
                <w:highlight w:val="none"/>
              </w:rPr>
              <w:t>。</w:t>
            </w:r>
          </w:p>
          <w:p>
            <w:pPr>
              <w:pStyle w:val="7"/>
              <w:spacing w:before="1" w:line="221" w:lineRule="auto"/>
              <w:ind w:left="115" w:right="298"/>
              <w:jc w:val="both"/>
              <w:rPr>
                <w:rFonts w:hint="default"/>
                <w:highlight w:val="none"/>
                <w:lang w:val="en-US" w:eastAsia="zh-CN"/>
              </w:rPr>
            </w:pPr>
            <w:r>
              <w:rPr>
                <w:rFonts w:hint="eastAsia"/>
                <w:highlight w:val="none"/>
                <w:lang w:val="en-US" w:eastAsia="zh-CN"/>
              </w:rPr>
              <w:t>5.</w:t>
            </w:r>
            <w:r>
              <w:rPr>
                <w:rFonts w:hint="eastAsia"/>
                <w:highlight w:val="none"/>
              </w:rPr>
              <w:t>负责对</w:t>
            </w:r>
            <w:r>
              <w:rPr>
                <w:rFonts w:hint="eastAsia"/>
                <w:highlight w:val="none"/>
                <w:lang w:val="en-US" w:eastAsia="zh-CN"/>
              </w:rPr>
              <w:t>公司电气、自动控制仪表仪器设备管理、升级改造</w:t>
            </w:r>
            <w:r>
              <w:rPr>
                <w:rFonts w:hint="eastAsia"/>
                <w:highlight w:val="none"/>
              </w:rPr>
              <w:t>提出</w:t>
            </w:r>
            <w:r>
              <w:rPr>
                <w:rFonts w:hint="eastAsia"/>
                <w:highlight w:val="none"/>
                <w:lang w:val="en-US" w:eastAsia="zh-CN"/>
              </w:rPr>
              <w:t>合</w:t>
            </w:r>
            <w:r>
              <w:rPr>
                <w:rFonts w:hint="eastAsia"/>
                <w:highlight w:val="none"/>
              </w:rPr>
              <w:t>理化建议。</w:t>
            </w:r>
          </w:p>
          <w:p>
            <w:pPr>
              <w:pStyle w:val="7"/>
              <w:spacing w:before="1" w:line="221" w:lineRule="auto"/>
              <w:ind w:left="115" w:right="298"/>
              <w:jc w:val="both"/>
              <w:rPr>
                <w:highlight w:val="yellow"/>
              </w:rPr>
            </w:pPr>
            <w:r>
              <w:rPr>
                <w:rFonts w:hint="eastAsia"/>
                <w:highlight w:val="none"/>
                <w:lang w:val="en-US" w:eastAsia="zh-CN"/>
              </w:rPr>
              <w:t>6.负责对公司电气自动化和各作业区主控手、检维修人员进行专业技术培训培养。</w:t>
            </w:r>
          </w:p>
        </w:tc>
        <w:tc>
          <w:tcPr>
            <w:tcW w:w="2331" w:type="dxa"/>
            <w:vAlign w:val="center"/>
          </w:tcPr>
          <w:p>
            <w:pPr>
              <w:pStyle w:val="7"/>
              <w:spacing w:before="62" w:line="214" w:lineRule="auto"/>
              <w:ind w:left="111" w:right="105" w:firstLine="15"/>
              <w:jc w:val="both"/>
              <w:rPr>
                <w:color w:val="auto"/>
                <w:highlight w:val="none"/>
              </w:rPr>
            </w:pPr>
            <w:r>
              <w:rPr>
                <w:color w:val="auto"/>
                <w:spacing w:val="16"/>
                <w:highlight w:val="none"/>
              </w:rPr>
              <w:t>1.</w:t>
            </w:r>
            <w:r>
              <w:rPr>
                <w:rFonts w:hint="eastAsia"/>
                <w:color w:val="auto"/>
                <w:spacing w:val="16"/>
                <w:highlight w:val="none"/>
                <w:lang w:val="en-US" w:eastAsia="zh-CN"/>
              </w:rPr>
              <w:t>具有</w:t>
            </w:r>
            <w:r>
              <w:rPr>
                <w:rFonts w:hint="default"/>
                <w:color w:val="auto"/>
                <w:spacing w:val="16"/>
                <w:highlight w:val="none"/>
                <w:lang w:val="en-US" w:eastAsia="zh-CN"/>
              </w:rPr>
              <w:t>全日制</w:t>
            </w:r>
            <w:r>
              <w:rPr>
                <w:rFonts w:hint="eastAsia"/>
                <w:color w:val="auto"/>
                <w:spacing w:val="16"/>
                <w:highlight w:val="none"/>
                <w:lang w:val="en-US" w:eastAsia="zh-CN"/>
              </w:rPr>
              <w:t>本科</w:t>
            </w:r>
            <w:r>
              <w:rPr>
                <w:rFonts w:hint="default"/>
                <w:color w:val="auto"/>
                <w:spacing w:val="16"/>
                <w:highlight w:val="none"/>
                <w:lang w:val="en-US" w:eastAsia="zh-CN"/>
              </w:rPr>
              <w:t>及以上文化程度</w:t>
            </w:r>
            <w:r>
              <w:rPr>
                <w:color w:val="auto"/>
                <w:spacing w:val="1"/>
                <w:highlight w:val="none"/>
              </w:rPr>
              <w:t>。</w:t>
            </w:r>
          </w:p>
          <w:p>
            <w:pPr>
              <w:pStyle w:val="7"/>
              <w:spacing w:before="3" w:line="213" w:lineRule="auto"/>
              <w:ind w:left="113" w:right="105" w:firstLine="1"/>
              <w:jc w:val="both"/>
              <w:rPr>
                <w:spacing w:val="5"/>
                <w:highlight w:val="none"/>
              </w:rPr>
            </w:pPr>
            <w:r>
              <w:rPr>
                <w:spacing w:val="-2"/>
                <w:highlight w:val="none"/>
              </w:rPr>
              <w:t>2.</w:t>
            </w:r>
            <w:r>
              <w:rPr>
                <w:rFonts w:hint="default"/>
                <w:spacing w:val="-2"/>
                <w:highlight w:val="none"/>
                <w:lang w:val="en-US" w:eastAsia="zh-CN"/>
              </w:rPr>
              <w:t>电气工程</w:t>
            </w:r>
            <w:r>
              <w:rPr>
                <w:rFonts w:hint="eastAsia"/>
                <w:spacing w:val="-2"/>
                <w:highlight w:val="none"/>
                <w:lang w:val="en-US" w:eastAsia="zh-CN"/>
              </w:rPr>
              <w:t>、电气</w:t>
            </w:r>
            <w:r>
              <w:rPr>
                <w:rFonts w:hint="default"/>
                <w:spacing w:val="-2"/>
                <w:highlight w:val="none"/>
                <w:lang w:val="en-US" w:eastAsia="zh-CN"/>
              </w:rPr>
              <w:t>及其自动化</w:t>
            </w:r>
            <w:r>
              <w:rPr>
                <w:rFonts w:hint="eastAsia"/>
                <w:spacing w:val="-2"/>
                <w:highlight w:val="none"/>
                <w:lang w:val="en-US" w:eastAsia="zh-CN"/>
              </w:rPr>
              <w:t>等自动化、智能化</w:t>
            </w:r>
            <w:r>
              <w:rPr>
                <w:rFonts w:hint="default"/>
                <w:spacing w:val="-2"/>
                <w:highlight w:val="none"/>
                <w:lang w:val="en-US" w:eastAsia="zh-CN"/>
              </w:rPr>
              <w:t>相关</w:t>
            </w:r>
            <w:r>
              <w:rPr>
                <w:rFonts w:hint="eastAsia"/>
                <w:spacing w:val="-2"/>
                <w:highlight w:val="none"/>
                <w:lang w:val="en-US" w:eastAsia="zh-CN"/>
              </w:rPr>
              <w:t>或相近</w:t>
            </w:r>
            <w:r>
              <w:rPr>
                <w:rFonts w:hint="default"/>
                <w:spacing w:val="-2"/>
                <w:highlight w:val="none"/>
                <w:lang w:val="en-US" w:eastAsia="zh-CN"/>
              </w:rPr>
              <w:t>专业</w:t>
            </w:r>
            <w:r>
              <w:rPr>
                <w:spacing w:val="5"/>
                <w:highlight w:val="none"/>
              </w:rPr>
              <w:t>。</w:t>
            </w:r>
          </w:p>
          <w:p>
            <w:pPr>
              <w:pStyle w:val="7"/>
              <w:spacing w:before="3" w:line="213" w:lineRule="auto"/>
              <w:ind w:left="113" w:right="105" w:firstLine="1"/>
              <w:jc w:val="both"/>
              <w:rPr>
                <w:rFonts w:hint="default" w:eastAsia="宋体"/>
                <w:spacing w:val="5"/>
                <w:highlight w:val="none"/>
                <w:lang w:val="en-US" w:eastAsia="zh-CN"/>
              </w:rPr>
            </w:pPr>
            <w:r>
              <w:rPr>
                <w:rFonts w:hint="eastAsia"/>
                <w:spacing w:val="5"/>
                <w:highlight w:val="none"/>
                <w:lang w:val="en-US" w:eastAsia="zh-CN"/>
              </w:rPr>
              <w:t>3.具有1年以上工作经验。</w:t>
            </w:r>
          </w:p>
          <w:p>
            <w:pPr>
              <w:pStyle w:val="7"/>
              <w:spacing w:line="228" w:lineRule="auto"/>
              <w:ind w:left="116"/>
              <w:jc w:val="left"/>
              <w:rPr>
                <w:highlight w:val="yellow"/>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4" w:hRule="atLeast"/>
        </w:trPr>
        <w:tc>
          <w:tcPr>
            <w:tcW w:w="511" w:type="dxa"/>
            <w:vAlign w:val="center"/>
          </w:tcPr>
          <w:p>
            <w:pPr>
              <w:pStyle w:val="7"/>
              <w:spacing w:before="62" w:line="257" w:lineRule="exact"/>
              <w:jc w:val="center"/>
            </w:pPr>
            <w:r>
              <w:rPr>
                <w:position w:val="1"/>
              </w:rPr>
              <w:t>2</w:t>
            </w:r>
          </w:p>
        </w:tc>
        <w:tc>
          <w:tcPr>
            <w:tcW w:w="740" w:type="dxa"/>
            <w:vAlign w:val="center"/>
          </w:tcPr>
          <w:p>
            <w:pPr>
              <w:pStyle w:val="7"/>
              <w:spacing w:before="62" w:line="216" w:lineRule="auto"/>
              <w:ind w:left="171" w:right="172" w:firstLine="9"/>
              <w:jc w:val="center"/>
            </w:pPr>
            <w:r>
              <w:rPr>
                <w:rFonts w:hint="default" w:ascii="宋体" w:hAnsi="宋体" w:eastAsia="宋体" w:cs="宋体"/>
                <w:lang w:val="en-US" w:eastAsia="zh-CN"/>
              </w:rPr>
              <w:t>动力作业区设备技术员</w:t>
            </w:r>
          </w:p>
        </w:tc>
        <w:tc>
          <w:tcPr>
            <w:tcW w:w="760" w:type="dxa"/>
            <w:vAlign w:val="center"/>
          </w:tcPr>
          <w:p>
            <w:pPr>
              <w:pStyle w:val="7"/>
              <w:spacing w:before="62" w:line="257" w:lineRule="exact"/>
              <w:jc w:val="center"/>
            </w:pPr>
            <w:r>
              <w:rPr>
                <w:position w:val="1"/>
              </w:rPr>
              <w:t>1</w:t>
            </w:r>
          </w:p>
        </w:tc>
        <w:tc>
          <w:tcPr>
            <w:tcW w:w="930" w:type="dxa"/>
            <w:vAlign w:val="center"/>
          </w:tcPr>
          <w:p>
            <w:pPr>
              <w:pStyle w:val="7"/>
              <w:spacing w:before="61" w:line="216" w:lineRule="auto"/>
              <w:ind w:right="107"/>
              <w:jc w:val="both"/>
              <w:rPr>
                <w:highlight w:val="yellow"/>
              </w:rPr>
            </w:pPr>
            <w:r>
              <w:rPr>
                <w:rFonts w:hint="eastAsia"/>
                <w:highlight w:val="none"/>
                <w:lang w:val="en-US" w:eastAsia="zh-CN"/>
              </w:rPr>
              <w:t>负责公司公共公辅智能装备、动力作业区机械设备智能应用管理、 远程集中控制和自动化等级升级技术改造、运行维护管理</w:t>
            </w:r>
            <w:r>
              <w:rPr>
                <w:highlight w:val="none"/>
              </w:rPr>
              <w:t>。</w:t>
            </w:r>
          </w:p>
        </w:tc>
        <w:tc>
          <w:tcPr>
            <w:tcW w:w="4834" w:type="dxa"/>
            <w:vAlign w:val="center"/>
          </w:tcPr>
          <w:p>
            <w:pPr>
              <w:pStyle w:val="7"/>
              <w:spacing w:before="1" w:line="221" w:lineRule="auto"/>
              <w:ind w:left="115" w:right="298"/>
              <w:jc w:val="both"/>
              <w:rPr>
                <w:rFonts w:hint="eastAsia"/>
                <w:highlight w:val="none"/>
                <w:lang w:val="en-US" w:eastAsia="zh-CN"/>
              </w:rPr>
            </w:pPr>
            <w:r>
              <w:rPr>
                <w:rFonts w:hint="eastAsia"/>
                <w:highlight w:val="none"/>
                <w:lang w:val="en-US" w:eastAsia="zh-CN"/>
              </w:rPr>
              <w:t>1.负责公司水、电、风、气、汽等智能设备、公辅设施、动力作业区机械设备的智能化水平提升、智能化升级改造项目全过程管理、数字化档案管理。</w:t>
            </w:r>
          </w:p>
          <w:p>
            <w:pPr>
              <w:pStyle w:val="7"/>
              <w:spacing w:before="1" w:line="221" w:lineRule="auto"/>
              <w:ind w:left="115" w:right="298"/>
              <w:jc w:val="both"/>
              <w:rPr>
                <w:rFonts w:hint="default"/>
                <w:highlight w:val="none"/>
                <w:lang w:val="en-US" w:eastAsia="zh-CN"/>
              </w:rPr>
            </w:pPr>
            <w:r>
              <w:rPr>
                <w:rFonts w:hint="eastAsia"/>
                <w:highlight w:val="none"/>
                <w:lang w:val="en-US" w:eastAsia="zh-CN"/>
              </w:rPr>
              <w:t>2.负责动力作业区特种设备、强检设备的基础管理、全过程状态监管、技术档案管理。摸索特种设备智能应用管理软件的开发使用。</w:t>
            </w:r>
          </w:p>
          <w:p>
            <w:pPr>
              <w:pStyle w:val="7"/>
              <w:spacing w:before="1" w:line="221" w:lineRule="auto"/>
              <w:ind w:left="115" w:right="298"/>
              <w:jc w:val="both"/>
              <w:rPr>
                <w:rFonts w:hint="eastAsia"/>
                <w:highlight w:val="none"/>
                <w:lang w:val="en-US" w:eastAsia="zh-CN"/>
              </w:rPr>
            </w:pPr>
            <w:r>
              <w:rPr>
                <w:rFonts w:hint="eastAsia"/>
                <w:highlight w:val="none"/>
                <w:lang w:val="en-US" w:eastAsia="zh-CN"/>
              </w:rPr>
              <w:t>3.</w:t>
            </w:r>
            <w:r>
              <w:rPr>
                <w:rFonts w:hint="default"/>
                <w:highlight w:val="none"/>
                <w:lang w:val="en-US" w:eastAsia="zh-CN"/>
              </w:rPr>
              <w:t>负责</w:t>
            </w:r>
            <w:r>
              <w:rPr>
                <w:rFonts w:hint="eastAsia"/>
                <w:highlight w:val="none"/>
                <w:lang w:val="en-US" w:eastAsia="zh-CN"/>
              </w:rPr>
              <w:t>动力作业区智能化装备</w:t>
            </w:r>
            <w:r>
              <w:rPr>
                <w:rFonts w:hint="default"/>
                <w:highlight w:val="none"/>
                <w:lang w:val="en-US" w:eastAsia="zh-CN"/>
              </w:rPr>
              <w:t>的预防性维护和周期性检修计划编制与实施</w:t>
            </w:r>
            <w:r>
              <w:rPr>
                <w:rFonts w:hint="eastAsia"/>
                <w:highlight w:val="none"/>
                <w:lang w:val="en-US" w:eastAsia="zh-CN"/>
              </w:rPr>
              <w:t>，机械设备设施备品件计划申报与备用状态全流程管理</w:t>
            </w:r>
            <w:r>
              <w:rPr>
                <w:rFonts w:hint="default"/>
                <w:highlight w:val="none"/>
                <w:lang w:val="en-US" w:eastAsia="zh-CN"/>
              </w:rPr>
              <w:t>。</w:t>
            </w:r>
          </w:p>
          <w:p>
            <w:pPr>
              <w:pStyle w:val="7"/>
              <w:spacing w:before="1" w:line="221" w:lineRule="auto"/>
              <w:ind w:left="115" w:right="298"/>
              <w:jc w:val="both"/>
              <w:rPr>
                <w:rFonts w:hint="eastAsia"/>
                <w:highlight w:val="none"/>
                <w:lang w:val="en-US" w:eastAsia="zh-CN"/>
              </w:rPr>
            </w:pPr>
            <w:r>
              <w:rPr>
                <w:rFonts w:hint="eastAsia"/>
                <w:highlight w:val="none"/>
                <w:lang w:val="en-US" w:eastAsia="zh-CN"/>
              </w:rPr>
              <w:t>4.负责组织动力作业区机械设备设施自动化在线保养和点巡检升级开发。</w:t>
            </w:r>
          </w:p>
          <w:p>
            <w:pPr>
              <w:pStyle w:val="7"/>
              <w:spacing w:before="1" w:line="221" w:lineRule="auto"/>
              <w:ind w:left="115" w:right="298"/>
              <w:jc w:val="both"/>
              <w:rPr>
                <w:rFonts w:hint="eastAsia"/>
                <w:highlight w:val="none"/>
                <w:lang w:val="en-US" w:eastAsia="zh-CN"/>
              </w:rPr>
            </w:pPr>
            <w:r>
              <w:rPr>
                <w:rFonts w:hint="eastAsia"/>
                <w:highlight w:val="none"/>
                <w:lang w:val="en-US" w:eastAsia="zh-CN"/>
              </w:rPr>
              <w:t>5.组织动力作业区机械设备设施安全生产规章制度、智能化操作手册</w:t>
            </w:r>
            <w:r>
              <w:rPr>
                <w:rFonts w:hint="eastAsia"/>
                <w:highlight w:val="none"/>
                <w:lang w:eastAsia="zh-CN"/>
              </w:rPr>
              <w:t>、</w:t>
            </w:r>
            <w:r>
              <w:rPr>
                <w:rFonts w:hint="eastAsia"/>
                <w:highlight w:val="none"/>
                <w:lang w:val="en-US" w:eastAsia="zh-CN"/>
              </w:rPr>
              <w:t>应急管理等方面的制度初稿编制</w:t>
            </w:r>
            <w:r>
              <w:rPr>
                <w:rFonts w:hint="eastAsia"/>
                <w:highlight w:val="none"/>
              </w:rPr>
              <w:t>。</w:t>
            </w:r>
          </w:p>
          <w:p>
            <w:pPr>
              <w:pStyle w:val="7"/>
              <w:spacing w:before="1" w:line="221" w:lineRule="auto"/>
              <w:ind w:left="115" w:right="298"/>
              <w:jc w:val="both"/>
              <w:rPr>
                <w:rFonts w:hint="eastAsia"/>
                <w:highlight w:val="none"/>
                <w:lang w:val="en-US" w:eastAsia="zh-CN"/>
              </w:rPr>
            </w:pPr>
            <w:r>
              <w:rPr>
                <w:rFonts w:hint="eastAsia"/>
                <w:highlight w:val="none"/>
                <w:lang w:val="en-US" w:eastAsia="zh-CN"/>
              </w:rPr>
              <w:t>6.负责对动力作业区智能装备水平提升、技术改造提出合理化建议。</w:t>
            </w:r>
          </w:p>
          <w:p>
            <w:pPr>
              <w:pStyle w:val="7"/>
              <w:spacing w:before="1" w:line="221" w:lineRule="auto"/>
              <w:ind w:left="115" w:right="298"/>
              <w:jc w:val="both"/>
              <w:rPr>
                <w:highlight w:val="yellow"/>
              </w:rPr>
            </w:pPr>
            <w:r>
              <w:rPr>
                <w:rFonts w:hint="eastAsia"/>
                <w:highlight w:val="none"/>
                <w:lang w:val="en-US" w:eastAsia="zh-CN"/>
              </w:rPr>
              <w:t>7.负责对各作业区主控手、智能装备检维修人员进行专业技术培训培养。</w:t>
            </w:r>
          </w:p>
        </w:tc>
        <w:tc>
          <w:tcPr>
            <w:tcW w:w="2331" w:type="dxa"/>
            <w:vAlign w:val="center"/>
          </w:tcPr>
          <w:p>
            <w:pPr>
              <w:pStyle w:val="7"/>
              <w:spacing w:before="62" w:line="214" w:lineRule="auto"/>
              <w:ind w:left="111" w:right="105" w:firstLine="15"/>
              <w:jc w:val="both"/>
              <w:rPr>
                <w:color w:val="auto"/>
                <w:highlight w:val="none"/>
              </w:rPr>
            </w:pPr>
            <w:r>
              <w:rPr>
                <w:color w:val="auto"/>
                <w:spacing w:val="16"/>
                <w:highlight w:val="none"/>
              </w:rPr>
              <w:t>1.</w:t>
            </w:r>
            <w:r>
              <w:rPr>
                <w:rFonts w:hint="eastAsia"/>
                <w:color w:val="auto"/>
                <w:spacing w:val="16"/>
                <w:highlight w:val="none"/>
                <w:lang w:val="en-US" w:eastAsia="zh-CN"/>
              </w:rPr>
              <w:t>具有</w:t>
            </w:r>
            <w:r>
              <w:rPr>
                <w:rFonts w:hint="default"/>
                <w:color w:val="auto"/>
                <w:spacing w:val="16"/>
                <w:highlight w:val="none"/>
                <w:lang w:val="en-US" w:eastAsia="zh-CN"/>
              </w:rPr>
              <w:t>全日制</w:t>
            </w:r>
            <w:r>
              <w:rPr>
                <w:rFonts w:hint="eastAsia"/>
                <w:color w:val="auto"/>
                <w:spacing w:val="16"/>
                <w:highlight w:val="none"/>
                <w:lang w:val="en-US" w:eastAsia="zh-CN"/>
              </w:rPr>
              <w:t>本科</w:t>
            </w:r>
            <w:r>
              <w:rPr>
                <w:rFonts w:hint="default"/>
                <w:color w:val="auto"/>
                <w:spacing w:val="16"/>
                <w:highlight w:val="none"/>
                <w:lang w:val="en-US" w:eastAsia="zh-CN"/>
              </w:rPr>
              <w:t>及以上文化程度</w:t>
            </w:r>
            <w:r>
              <w:rPr>
                <w:color w:val="auto"/>
                <w:spacing w:val="1"/>
                <w:highlight w:val="none"/>
              </w:rPr>
              <w:t>。</w:t>
            </w:r>
          </w:p>
          <w:p>
            <w:pPr>
              <w:pStyle w:val="7"/>
              <w:spacing w:line="228" w:lineRule="auto"/>
              <w:ind w:left="116"/>
              <w:jc w:val="left"/>
              <w:rPr>
                <w:spacing w:val="5"/>
                <w:highlight w:val="none"/>
              </w:rPr>
            </w:pPr>
            <w:r>
              <w:rPr>
                <w:rFonts w:hint="default"/>
                <w:highlight w:val="none"/>
                <w:lang w:val="en-US" w:eastAsia="zh-CN"/>
              </w:rPr>
              <w:t>2.</w:t>
            </w:r>
            <w:r>
              <w:rPr>
                <w:rFonts w:hint="eastAsia"/>
                <w:highlight w:val="none"/>
                <w:lang w:val="en-US" w:eastAsia="zh-CN"/>
              </w:rPr>
              <w:t>机械工程、</w:t>
            </w:r>
            <w:r>
              <w:rPr>
                <w:rFonts w:hint="default"/>
                <w:highlight w:val="none"/>
                <w:lang w:val="en-US" w:eastAsia="zh-CN"/>
              </w:rPr>
              <w:t>机械设计制造及其自动化</w:t>
            </w:r>
            <w:r>
              <w:rPr>
                <w:rFonts w:hint="eastAsia"/>
                <w:highlight w:val="none"/>
                <w:lang w:val="en-US" w:eastAsia="zh-CN"/>
              </w:rPr>
              <w:t>、</w:t>
            </w:r>
            <w:r>
              <w:rPr>
                <w:rFonts w:hint="default"/>
                <w:highlight w:val="none"/>
                <w:lang w:val="en-US" w:eastAsia="zh-CN"/>
              </w:rPr>
              <w:t>机电一体化</w:t>
            </w:r>
            <w:r>
              <w:rPr>
                <w:rFonts w:hint="eastAsia"/>
                <w:spacing w:val="-2"/>
                <w:highlight w:val="none"/>
                <w:lang w:val="en-US" w:eastAsia="zh-CN"/>
              </w:rPr>
              <w:t>等自动化、智能化</w:t>
            </w:r>
            <w:r>
              <w:rPr>
                <w:rFonts w:hint="default"/>
                <w:spacing w:val="-2"/>
                <w:highlight w:val="none"/>
                <w:lang w:val="en-US" w:eastAsia="zh-CN"/>
              </w:rPr>
              <w:t>相关</w:t>
            </w:r>
            <w:r>
              <w:rPr>
                <w:rFonts w:hint="eastAsia"/>
                <w:spacing w:val="-2"/>
                <w:highlight w:val="none"/>
                <w:lang w:val="en-US" w:eastAsia="zh-CN"/>
              </w:rPr>
              <w:t>或相近</w:t>
            </w:r>
            <w:r>
              <w:rPr>
                <w:rFonts w:hint="default"/>
                <w:spacing w:val="-2"/>
                <w:highlight w:val="none"/>
                <w:lang w:val="en-US" w:eastAsia="zh-CN"/>
              </w:rPr>
              <w:t>专业</w:t>
            </w:r>
            <w:r>
              <w:rPr>
                <w:spacing w:val="5"/>
                <w:highlight w:val="none"/>
              </w:rPr>
              <w:t>。</w:t>
            </w:r>
          </w:p>
          <w:p>
            <w:pPr>
              <w:pStyle w:val="7"/>
              <w:spacing w:before="3" w:line="213" w:lineRule="auto"/>
              <w:ind w:left="113" w:right="105" w:firstLine="1"/>
              <w:jc w:val="both"/>
              <w:rPr>
                <w:rFonts w:hint="default" w:eastAsia="宋体"/>
                <w:spacing w:val="5"/>
                <w:highlight w:val="none"/>
                <w:lang w:val="en-US" w:eastAsia="zh-CN"/>
              </w:rPr>
            </w:pPr>
            <w:r>
              <w:rPr>
                <w:rFonts w:hint="eastAsia"/>
                <w:spacing w:val="5"/>
                <w:highlight w:val="none"/>
                <w:lang w:val="en-US" w:eastAsia="zh-CN"/>
              </w:rPr>
              <w:t>3.具有1年以上工作经验。</w:t>
            </w:r>
          </w:p>
          <w:p>
            <w:pPr>
              <w:pStyle w:val="7"/>
              <w:spacing w:line="228" w:lineRule="auto"/>
              <w:ind w:left="116"/>
              <w:jc w:val="left"/>
              <w:rPr>
                <w:spacing w:val="5"/>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3" w:hRule="atLeast"/>
        </w:trPr>
        <w:tc>
          <w:tcPr>
            <w:tcW w:w="511" w:type="dxa"/>
            <w:shd w:val="clear" w:color="auto" w:fill="auto"/>
            <w:vAlign w:val="center"/>
          </w:tcPr>
          <w:p>
            <w:pPr>
              <w:pStyle w:val="7"/>
              <w:spacing w:before="62" w:line="255" w:lineRule="exact"/>
              <w:ind w:left="307" w:leftChars="0"/>
              <w:jc w:val="both"/>
              <w:rPr>
                <w:rFonts w:ascii="宋体" w:hAnsi="宋体" w:eastAsia="宋体" w:cs="宋体"/>
                <w:snapToGrid w:val="0"/>
                <w:color w:val="000000"/>
                <w:kern w:val="0"/>
                <w:sz w:val="19"/>
                <w:szCs w:val="19"/>
                <w:lang w:val="en-US" w:eastAsia="en-US" w:bidi="ar-SA"/>
              </w:rPr>
            </w:pPr>
            <w:r>
              <w:rPr>
                <w:position w:val="1"/>
              </w:rPr>
              <w:t>3</w:t>
            </w:r>
          </w:p>
        </w:tc>
        <w:tc>
          <w:tcPr>
            <w:tcW w:w="740" w:type="dxa"/>
            <w:shd w:val="clear" w:color="auto" w:fill="auto"/>
            <w:vAlign w:val="center"/>
          </w:tcPr>
          <w:p>
            <w:pPr>
              <w:pStyle w:val="7"/>
              <w:spacing w:before="61" w:line="219" w:lineRule="auto"/>
              <w:ind w:left="172" w:leftChars="0" w:right="172" w:rightChars="0"/>
              <w:jc w:val="center"/>
              <w:rPr>
                <w:rFonts w:hint="default" w:ascii="宋体" w:hAnsi="宋体" w:eastAsia="宋体" w:cs="宋体"/>
                <w:snapToGrid w:val="0"/>
                <w:color w:val="000000"/>
                <w:kern w:val="0"/>
                <w:sz w:val="19"/>
                <w:szCs w:val="19"/>
                <w:lang w:val="en-US" w:eastAsia="zh-CN" w:bidi="ar-SA"/>
              </w:rPr>
            </w:pPr>
            <w:r>
              <w:rPr>
                <w:rFonts w:hint="default"/>
                <w:lang w:val="en-US" w:eastAsia="zh-CN"/>
              </w:rPr>
              <w:t>电锌作业区设备技术员</w:t>
            </w:r>
          </w:p>
        </w:tc>
        <w:tc>
          <w:tcPr>
            <w:tcW w:w="760" w:type="dxa"/>
            <w:shd w:val="clear" w:color="auto" w:fill="auto"/>
            <w:vAlign w:val="center"/>
          </w:tcPr>
          <w:p>
            <w:pPr>
              <w:pStyle w:val="7"/>
              <w:spacing w:before="62" w:line="257" w:lineRule="exact"/>
              <w:ind w:left="328" w:leftChars="0"/>
              <w:jc w:val="both"/>
              <w:rPr>
                <w:rFonts w:ascii="宋体" w:hAnsi="宋体" w:eastAsia="宋体" w:cs="宋体"/>
                <w:snapToGrid w:val="0"/>
                <w:color w:val="000000"/>
                <w:kern w:val="0"/>
                <w:sz w:val="19"/>
                <w:szCs w:val="19"/>
                <w:lang w:val="en-US" w:eastAsia="en-US" w:bidi="ar-SA"/>
              </w:rPr>
            </w:pPr>
            <w:r>
              <w:rPr>
                <w:position w:val="1"/>
              </w:rPr>
              <w:t>1</w:t>
            </w:r>
          </w:p>
        </w:tc>
        <w:tc>
          <w:tcPr>
            <w:tcW w:w="930" w:type="dxa"/>
            <w:shd w:val="clear" w:color="auto" w:fill="auto"/>
            <w:vAlign w:val="center"/>
          </w:tcPr>
          <w:p>
            <w:pPr>
              <w:pStyle w:val="7"/>
              <w:spacing w:before="61" w:line="216" w:lineRule="auto"/>
              <w:ind w:right="107"/>
              <w:jc w:val="both"/>
              <w:rPr>
                <w:rFonts w:ascii="宋体" w:hAnsi="宋体" w:eastAsia="宋体" w:cs="宋体"/>
                <w:snapToGrid w:val="0"/>
                <w:color w:val="000000"/>
                <w:kern w:val="0"/>
                <w:sz w:val="19"/>
                <w:szCs w:val="19"/>
                <w:highlight w:val="yellow"/>
                <w:lang w:val="en-US" w:eastAsia="en-US" w:bidi="ar-SA"/>
              </w:rPr>
            </w:pPr>
            <w:r>
              <w:rPr>
                <w:rFonts w:hint="eastAsia"/>
                <w:highlight w:val="none"/>
                <w:lang w:val="en-US" w:eastAsia="en-US"/>
              </w:rPr>
              <w:t>负责电锌作业区生产配套自动化设备日常技术管理、运维保障、故障排查、技改优化及工程项目工作。</w:t>
            </w:r>
          </w:p>
        </w:tc>
        <w:tc>
          <w:tcPr>
            <w:tcW w:w="4834" w:type="dxa"/>
            <w:shd w:val="clear" w:color="auto" w:fill="auto"/>
            <w:vAlign w:val="center"/>
          </w:tcPr>
          <w:p>
            <w:pPr>
              <w:pStyle w:val="7"/>
              <w:spacing w:before="1" w:line="221" w:lineRule="auto"/>
              <w:ind w:left="115" w:leftChars="0" w:right="106" w:rightChars="0"/>
              <w:jc w:val="both"/>
              <w:rPr>
                <w:rFonts w:hint="default"/>
                <w:color w:val="auto"/>
                <w:spacing w:val="19"/>
                <w:highlight w:val="none"/>
                <w:lang w:val="en-US"/>
              </w:rPr>
            </w:pPr>
            <w:r>
              <w:rPr>
                <w:rFonts w:hint="eastAsia"/>
                <w:color w:val="auto"/>
                <w:highlight w:val="none"/>
                <w:lang w:val="en-US" w:eastAsia="zh-CN"/>
              </w:rPr>
              <w:t>1.负责对电锌作业区</w:t>
            </w:r>
            <w:r>
              <w:rPr>
                <w:rFonts w:hint="eastAsia"/>
                <w:color w:val="auto"/>
                <w:spacing w:val="19"/>
                <w:highlight w:val="none"/>
                <w:lang w:val="en-US" w:eastAsia="zh-CN"/>
              </w:rPr>
              <w:t>自动化装备技术改造、智能装备控制程序、集控程序优化升级及专业运维人员培养。</w:t>
            </w:r>
          </w:p>
          <w:p>
            <w:pPr>
              <w:pStyle w:val="7"/>
              <w:spacing w:before="1" w:line="221" w:lineRule="auto"/>
              <w:ind w:left="115" w:leftChars="0" w:right="106" w:rightChars="0"/>
              <w:jc w:val="both"/>
              <w:rPr>
                <w:rFonts w:hint="eastAsia"/>
                <w:color w:val="auto"/>
                <w:spacing w:val="19"/>
                <w:highlight w:val="none"/>
              </w:rPr>
            </w:pPr>
            <w:r>
              <w:rPr>
                <w:rFonts w:hint="eastAsia"/>
                <w:color w:val="auto"/>
                <w:spacing w:val="19"/>
                <w:highlight w:val="none"/>
                <w:lang w:val="en-US" w:eastAsia="zh-CN"/>
              </w:rPr>
              <w:t>2.</w:t>
            </w:r>
            <w:r>
              <w:rPr>
                <w:rFonts w:hint="eastAsia"/>
                <w:color w:val="auto"/>
                <w:spacing w:val="19"/>
                <w:highlight w:val="none"/>
              </w:rPr>
              <w:t>统筹开展</w:t>
            </w:r>
            <w:r>
              <w:rPr>
                <w:rFonts w:hint="eastAsia"/>
                <w:color w:val="auto"/>
                <w:spacing w:val="19"/>
                <w:highlight w:val="none"/>
                <w:lang w:val="en-US" w:eastAsia="zh-CN"/>
              </w:rPr>
              <w:t>电锌作业区三大机组等</w:t>
            </w:r>
            <w:r>
              <w:rPr>
                <w:rFonts w:hint="eastAsia"/>
                <w:color w:val="auto"/>
                <w:spacing w:val="19"/>
                <w:highlight w:val="none"/>
              </w:rPr>
              <w:t>设备专项安全检查与隐患治理，落实设备全生命周期规范化管理。</w:t>
            </w:r>
          </w:p>
          <w:p>
            <w:pPr>
              <w:pStyle w:val="7"/>
              <w:spacing w:before="1" w:line="221" w:lineRule="auto"/>
              <w:ind w:left="115" w:leftChars="0" w:right="106" w:rightChars="0"/>
              <w:jc w:val="both"/>
              <w:rPr>
                <w:rFonts w:hint="eastAsia"/>
                <w:color w:val="auto"/>
                <w:spacing w:val="19"/>
                <w:highlight w:val="none"/>
              </w:rPr>
            </w:pPr>
            <w:r>
              <w:rPr>
                <w:rFonts w:hint="eastAsia"/>
                <w:color w:val="auto"/>
                <w:spacing w:val="19"/>
                <w:highlight w:val="none"/>
                <w:lang w:val="en-US" w:eastAsia="zh-CN"/>
              </w:rPr>
              <w:t>3.</w:t>
            </w:r>
            <w:r>
              <w:rPr>
                <w:rFonts w:hint="eastAsia"/>
                <w:color w:val="auto"/>
                <w:spacing w:val="19"/>
                <w:highlight w:val="none"/>
              </w:rPr>
              <w:t>牵头编制、修订本</w:t>
            </w:r>
            <w:r>
              <w:rPr>
                <w:rFonts w:hint="eastAsia"/>
                <w:color w:val="auto"/>
                <w:spacing w:val="19"/>
                <w:highlight w:val="none"/>
                <w:lang w:val="en-US" w:eastAsia="zh-CN"/>
              </w:rPr>
              <w:t>单位智能化装备</w:t>
            </w:r>
            <w:r>
              <w:rPr>
                <w:rFonts w:hint="eastAsia"/>
                <w:color w:val="auto"/>
                <w:spacing w:val="19"/>
                <w:highlight w:val="none"/>
              </w:rPr>
              <w:t>检修操作规程及各类设备管理制度，严格监督制度落地执行，规范</w:t>
            </w:r>
            <w:r>
              <w:rPr>
                <w:rFonts w:hint="eastAsia"/>
                <w:color w:val="auto"/>
                <w:spacing w:val="19"/>
                <w:highlight w:val="none"/>
                <w:lang w:val="en-US" w:eastAsia="zh-CN"/>
              </w:rPr>
              <w:t>智能化装备</w:t>
            </w:r>
            <w:r>
              <w:rPr>
                <w:rFonts w:hint="eastAsia"/>
                <w:color w:val="auto"/>
                <w:spacing w:val="19"/>
                <w:highlight w:val="none"/>
              </w:rPr>
              <w:t>检修、运维作业标准，保障设备作业合规化、标准化。</w:t>
            </w:r>
          </w:p>
          <w:p>
            <w:pPr>
              <w:pStyle w:val="7"/>
              <w:spacing w:before="1" w:line="221" w:lineRule="auto"/>
              <w:ind w:left="115" w:leftChars="0" w:right="106" w:rightChars="0"/>
              <w:jc w:val="both"/>
              <w:rPr>
                <w:rFonts w:hint="eastAsia" w:eastAsia="宋体"/>
                <w:color w:val="auto"/>
                <w:spacing w:val="19"/>
                <w:highlight w:val="none"/>
                <w:lang w:eastAsia="zh-CN"/>
              </w:rPr>
            </w:pPr>
            <w:r>
              <w:rPr>
                <w:rFonts w:hint="eastAsia"/>
                <w:color w:val="auto"/>
                <w:spacing w:val="19"/>
                <w:highlight w:val="none"/>
                <w:lang w:val="en-US" w:eastAsia="zh-CN"/>
              </w:rPr>
              <w:t>4.</w:t>
            </w:r>
            <w:r>
              <w:rPr>
                <w:rFonts w:hint="eastAsia"/>
                <w:color w:val="auto"/>
                <w:spacing w:val="19"/>
                <w:highlight w:val="none"/>
              </w:rPr>
              <w:t>负责对外委施工单位开展安全技术交底、现场施工监管及履约评价，严控外协作业安全风险</w:t>
            </w:r>
            <w:r>
              <w:rPr>
                <w:rFonts w:hint="eastAsia"/>
                <w:color w:val="auto"/>
                <w:spacing w:val="19"/>
                <w:highlight w:val="none"/>
                <w:lang w:eastAsia="zh-CN"/>
              </w:rPr>
              <w:t>。</w:t>
            </w:r>
          </w:p>
          <w:p>
            <w:pPr>
              <w:pStyle w:val="7"/>
              <w:spacing w:before="1" w:line="221" w:lineRule="auto"/>
              <w:ind w:left="115" w:leftChars="0" w:right="106" w:rightChars="0"/>
              <w:jc w:val="both"/>
              <w:rPr>
                <w:rFonts w:hint="eastAsia"/>
                <w:color w:val="auto"/>
                <w:spacing w:val="19"/>
                <w:highlight w:val="none"/>
              </w:rPr>
            </w:pPr>
            <w:r>
              <w:rPr>
                <w:rFonts w:hint="eastAsia"/>
                <w:color w:val="auto"/>
                <w:spacing w:val="19"/>
                <w:highlight w:val="none"/>
                <w:lang w:val="en-US" w:eastAsia="zh-CN"/>
              </w:rPr>
              <w:t>5.</w:t>
            </w:r>
            <w:r>
              <w:rPr>
                <w:rFonts w:hint="eastAsia"/>
                <w:color w:val="auto"/>
                <w:spacing w:val="19"/>
                <w:highlight w:val="none"/>
              </w:rPr>
              <w:t>牵头组织</w:t>
            </w:r>
            <w:r>
              <w:rPr>
                <w:rFonts w:hint="eastAsia"/>
                <w:color w:val="auto"/>
                <w:spacing w:val="19"/>
                <w:highlight w:val="none"/>
                <w:lang w:val="en-US" w:eastAsia="zh-CN"/>
              </w:rPr>
              <w:t>智能化装备</w:t>
            </w:r>
            <w:r>
              <w:rPr>
                <w:rFonts w:hint="eastAsia"/>
                <w:color w:val="auto"/>
                <w:spacing w:val="19"/>
                <w:highlight w:val="none"/>
              </w:rPr>
              <w:t>设备故障、事故的现场调查、原因分析</w:t>
            </w:r>
            <w:r>
              <w:rPr>
                <w:rFonts w:hint="eastAsia"/>
                <w:color w:val="auto"/>
                <w:spacing w:val="19"/>
                <w:highlight w:val="none"/>
                <w:lang w:eastAsia="zh-CN"/>
              </w:rPr>
              <w:t>和</w:t>
            </w:r>
            <w:r>
              <w:rPr>
                <w:rFonts w:hint="eastAsia"/>
                <w:color w:val="auto"/>
                <w:spacing w:val="19"/>
                <w:highlight w:val="none"/>
              </w:rPr>
              <w:t>闭环处理。</w:t>
            </w:r>
          </w:p>
          <w:p>
            <w:pPr>
              <w:pStyle w:val="7"/>
              <w:spacing w:before="1" w:line="221" w:lineRule="auto"/>
              <w:ind w:left="115" w:leftChars="0" w:right="106" w:rightChars="0"/>
              <w:jc w:val="both"/>
              <w:rPr>
                <w:rFonts w:hint="eastAsia" w:ascii="宋体" w:hAnsi="宋体" w:eastAsia="宋体" w:cs="宋体"/>
                <w:snapToGrid w:val="0"/>
                <w:color w:val="auto"/>
                <w:kern w:val="0"/>
                <w:sz w:val="19"/>
                <w:szCs w:val="19"/>
                <w:highlight w:val="yellow"/>
                <w:lang w:val="en-US" w:eastAsia="en-US" w:bidi="ar-SA"/>
              </w:rPr>
            </w:pPr>
            <w:r>
              <w:rPr>
                <w:rFonts w:hint="eastAsia"/>
                <w:color w:val="auto"/>
                <w:spacing w:val="19"/>
                <w:highlight w:val="none"/>
                <w:lang w:val="en-US" w:eastAsia="zh-CN"/>
              </w:rPr>
              <w:t>6.</w:t>
            </w:r>
            <w:r>
              <w:rPr>
                <w:rFonts w:hint="eastAsia"/>
                <w:color w:val="auto"/>
                <w:spacing w:val="19"/>
                <w:highlight w:val="none"/>
              </w:rPr>
              <w:t>负责设备技改优化、智能化升级、设备更新及配套新建工程项目工作，全程跟进项目方案落地、</w:t>
            </w:r>
            <w:r>
              <w:rPr>
                <w:rFonts w:hint="eastAsia"/>
                <w:color w:val="auto"/>
                <w:spacing w:val="19"/>
                <w:highlight w:val="none"/>
                <w:lang w:val="en-US" w:eastAsia="zh-CN"/>
              </w:rPr>
              <w:t>智能化装备、设备</w:t>
            </w:r>
            <w:r>
              <w:rPr>
                <w:rFonts w:hint="eastAsia"/>
                <w:color w:val="auto"/>
                <w:spacing w:val="19"/>
                <w:highlight w:val="none"/>
              </w:rPr>
              <w:t>安装、调试、验收工作，助力设备提质增效与车间智能化升级。</w:t>
            </w:r>
          </w:p>
        </w:tc>
        <w:tc>
          <w:tcPr>
            <w:tcW w:w="2331" w:type="dxa"/>
            <w:shd w:val="clear" w:color="auto" w:fill="auto"/>
            <w:vAlign w:val="center"/>
          </w:tcPr>
          <w:p>
            <w:pPr>
              <w:pStyle w:val="7"/>
              <w:spacing w:before="62" w:line="214" w:lineRule="auto"/>
              <w:ind w:left="111" w:right="105" w:firstLine="15"/>
              <w:jc w:val="both"/>
              <w:rPr>
                <w:color w:val="auto"/>
                <w:highlight w:val="none"/>
              </w:rPr>
            </w:pPr>
            <w:r>
              <w:rPr>
                <w:color w:val="auto"/>
                <w:spacing w:val="16"/>
                <w:highlight w:val="none"/>
              </w:rPr>
              <w:t>1.</w:t>
            </w:r>
            <w:r>
              <w:rPr>
                <w:rFonts w:hint="eastAsia"/>
                <w:color w:val="auto"/>
                <w:spacing w:val="16"/>
                <w:highlight w:val="none"/>
                <w:lang w:val="en-US" w:eastAsia="zh-CN"/>
              </w:rPr>
              <w:t>具有</w:t>
            </w:r>
            <w:r>
              <w:rPr>
                <w:rFonts w:hint="default"/>
                <w:color w:val="auto"/>
                <w:spacing w:val="16"/>
                <w:highlight w:val="none"/>
                <w:lang w:val="en-US" w:eastAsia="zh-CN"/>
              </w:rPr>
              <w:t>全日制</w:t>
            </w:r>
            <w:r>
              <w:rPr>
                <w:rFonts w:hint="eastAsia"/>
                <w:color w:val="auto"/>
                <w:spacing w:val="16"/>
                <w:highlight w:val="none"/>
                <w:lang w:val="en-US" w:eastAsia="zh-CN"/>
              </w:rPr>
              <w:t>本科</w:t>
            </w:r>
            <w:r>
              <w:rPr>
                <w:rFonts w:hint="default"/>
                <w:color w:val="auto"/>
                <w:spacing w:val="16"/>
                <w:highlight w:val="none"/>
                <w:lang w:val="en-US" w:eastAsia="zh-CN"/>
              </w:rPr>
              <w:t>及以上文化程度</w:t>
            </w:r>
            <w:r>
              <w:rPr>
                <w:color w:val="auto"/>
                <w:spacing w:val="1"/>
                <w:highlight w:val="none"/>
              </w:rPr>
              <w:t>。</w:t>
            </w:r>
          </w:p>
          <w:p>
            <w:pPr>
              <w:pStyle w:val="7"/>
              <w:spacing w:line="228" w:lineRule="auto"/>
              <w:ind w:left="116"/>
              <w:jc w:val="left"/>
              <w:rPr>
                <w:spacing w:val="5"/>
                <w:highlight w:val="none"/>
              </w:rPr>
            </w:pPr>
            <w:r>
              <w:rPr>
                <w:color w:val="auto"/>
                <w:spacing w:val="-2"/>
                <w:highlight w:val="none"/>
              </w:rPr>
              <w:t xml:space="preserve">2. </w:t>
            </w:r>
            <w:r>
              <w:rPr>
                <w:rFonts w:hint="eastAsia"/>
                <w:color w:val="auto"/>
                <w:spacing w:val="-2"/>
                <w:highlight w:val="none"/>
                <w:lang w:val="en-US" w:eastAsia="zh-CN"/>
              </w:rPr>
              <w:t>机械工程、</w:t>
            </w:r>
            <w:r>
              <w:rPr>
                <w:rFonts w:hint="default"/>
                <w:color w:val="auto"/>
                <w:spacing w:val="-2"/>
                <w:highlight w:val="none"/>
                <w:lang w:val="en-US" w:eastAsia="zh-CN"/>
              </w:rPr>
              <w:t>机械设计制造及其自动化</w:t>
            </w:r>
            <w:r>
              <w:rPr>
                <w:rFonts w:hint="eastAsia"/>
                <w:color w:val="auto"/>
                <w:spacing w:val="-2"/>
                <w:highlight w:val="none"/>
                <w:lang w:val="en-US" w:eastAsia="zh-CN"/>
              </w:rPr>
              <w:t>、</w:t>
            </w:r>
            <w:r>
              <w:rPr>
                <w:rFonts w:hint="default"/>
                <w:color w:val="auto"/>
                <w:spacing w:val="-2"/>
                <w:highlight w:val="none"/>
                <w:lang w:val="en-US" w:eastAsia="zh-CN"/>
              </w:rPr>
              <w:t>机电一体化</w:t>
            </w:r>
            <w:r>
              <w:rPr>
                <w:rFonts w:hint="eastAsia"/>
                <w:spacing w:val="-2"/>
                <w:highlight w:val="none"/>
                <w:lang w:val="en-US" w:eastAsia="zh-CN"/>
              </w:rPr>
              <w:t>等自动化、智能化</w:t>
            </w:r>
            <w:r>
              <w:rPr>
                <w:rFonts w:hint="default"/>
                <w:spacing w:val="-2"/>
                <w:highlight w:val="none"/>
                <w:lang w:val="en-US" w:eastAsia="zh-CN"/>
              </w:rPr>
              <w:t>相关</w:t>
            </w:r>
            <w:r>
              <w:rPr>
                <w:rFonts w:hint="eastAsia"/>
                <w:spacing w:val="-2"/>
                <w:highlight w:val="none"/>
                <w:lang w:val="en-US" w:eastAsia="zh-CN"/>
              </w:rPr>
              <w:t>或相近</w:t>
            </w:r>
            <w:r>
              <w:rPr>
                <w:rFonts w:hint="default"/>
                <w:spacing w:val="-2"/>
                <w:highlight w:val="none"/>
                <w:lang w:val="en-US" w:eastAsia="zh-CN"/>
              </w:rPr>
              <w:t>专业</w:t>
            </w:r>
            <w:r>
              <w:rPr>
                <w:spacing w:val="5"/>
                <w:highlight w:val="none"/>
              </w:rPr>
              <w:t>。</w:t>
            </w:r>
          </w:p>
          <w:p>
            <w:pPr>
              <w:pStyle w:val="7"/>
              <w:spacing w:before="3" w:line="213" w:lineRule="auto"/>
              <w:ind w:left="113" w:right="105" w:firstLine="1"/>
              <w:jc w:val="both"/>
              <w:rPr>
                <w:rFonts w:hint="default" w:eastAsia="宋体"/>
                <w:spacing w:val="5"/>
                <w:highlight w:val="none"/>
                <w:lang w:val="en-US" w:eastAsia="zh-CN"/>
              </w:rPr>
            </w:pPr>
            <w:r>
              <w:rPr>
                <w:rFonts w:hint="eastAsia"/>
                <w:spacing w:val="5"/>
                <w:highlight w:val="none"/>
                <w:lang w:val="en-US" w:eastAsia="zh-CN"/>
              </w:rPr>
              <w:t>3.具有1年以上工作经验。</w:t>
            </w:r>
          </w:p>
          <w:p>
            <w:pPr>
              <w:pStyle w:val="7"/>
              <w:spacing w:line="228" w:lineRule="auto"/>
              <w:ind w:left="116"/>
              <w:jc w:val="left"/>
              <w:rPr>
                <w:spacing w:val="5"/>
                <w:highlight w:val="none"/>
                <w:lang w:val="en-US"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6" w:hRule="atLeast"/>
        </w:trPr>
        <w:tc>
          <w:tcPr>
            <w:tcW w:w="511" w:type="dxa"/>
            <w:shd w:val="clear" w:color="auto" w:fill="auto"/>
            <w:vAlign w:val="center"/>
          </w:tcPr>
          <w:p>
            <w:pPr>
              <w:pStyle w:val="7"/>
              <w:spacing w:before="62" w:line="257" w:lineRule="exact"/>
              <w:ind w:left="302" w:leftChars="0"/>
              <w:jc w:val="both"/>
              <w:rPr>
                <w:rFonts w:ascii="宋体" w:hAnsi="宋体" w:eastAsia="宋体" w:cs="宋体"/>
                <w:snapToGrid w:val="0"/>
                <w:color w:val="000000"/>
                <w:kern w:val="0"/>
                <w:sz w:val="19"/>
                <w:szCs w:val="19"/>
                <w:lang w:val="en-US" w:eastAsia="en-US" w:bidi="ar-SA"/>
              </w:rPr>
            </w:pPr>
            <w:r>
              <w:rPr>
                <w:position w:val="1"/>
              </w:rPr>
              <w:t>4</w:t>
            </w:r>
          </w:p>
        </w:tc>
        <w:tc>
          <w:tcPr>
            <w:tcW w:w="740" w:type="dxa"/>
            <w:shd w:val="clear" w:color="auto" w:fill="auto"/>
            <w:vAlign w:val="center"/>
          </w:tcPr>
          <w:p>
            <w:pPr>
              <w:pStyle w:val="7"/>
              <w:spacing w:before="61" w:line="219" w:lineRule="auto"/>
              <w:ind w:left="172" w:leftChars="0" w:right="172" w:rightChars="0"/>
              <w:jc w:val="center"/>
              <w:rPr>
                <w:rFonts w:hint="default" w:ascii="宋体" w:hAnsi="宋体" w:eastAsia="宋体" w:cs="宋体"/>
                <w:snapToGrid w:val="0"/>
                <w:color w:val="000000"/>
                <w:kern w:val="0"/>
                <w:sz w:val="19"/>
                <w:szCs w:val="19"/>
                <w:lang w:val="en-US" w:eastAsia="zh-CN" w:bidi="ar-SA"/>
              </w:rPr>
            </w:pPr>
            <w:r>
              <w:rPr>
                <w:rFonts w:hint="default"/>
                <w:lang w:val="en-US" w:eastAsia="zh-CN"/>
              </w:rPr>
              <w:t>装备部项目技术员</w:t>
            </w:r>
          </w:p>
        </w:tc>
        <w:tc>
          <w:tcPr>
            <w:tcW w:w="760" w:type="dxa"/>
            <w:shd w:val="clear" w:color="auto" w:fill="auto"/>
            <w:vAlign w:val="center"/>
          </w:tcPr>
          <w:p>
            <w:pPr>
              <w:pStyle w:val="7"/>
              <w:spacing w:before="62" w:line="257" w:lineRule="exact"/>
              <w:ind w:left="328" w:leftChars="0"/>
              <w:jc w:val="both"/>
              <w:rPr>
                <w:rFonts w:ascii="宋体" w:hAnsi="宋体" w:eastAsia="宋体" w:cs="宋体"/>
                <w:snapToGrid w:val="0"/>
                <w:color w:val="000000"/>
                <w:kern w:val="0"/>
                <w:sz w:val="19"/>
                <w:szCs w:val="19"/>
                <w:lang w:val="en-US" w:eastAsia="en-US" w:bidi="ar-SA"/>
              </w:rPr>
            </w:pPr>
            <w:r>
              <w:rPr>
                <w:position w:val="1"/>
              </w:rPr>
              <w:t>1</w:t>
            </w:r>
          </w:p>
        </w:tc>
        <w:tc>
          <w:tcPr>
            <w:tcW w:w="930" w:type="dxa"/>
            <w:shd w:val="clear" w:color="auto" w:fill="auto"/>
            <w:vAlign w:val="center"/>
          </w:tcPr>
          <w:p>
            <w:pPr>
              <w:pStyle w:val="7"/>
              <w:spacing w:before="61" w:line="216" w:lineRule="auto"/>
              <w:ind w:right="107"/>
              <w:jc w:val="both"/>
              <w:rPr>
                <w:rFonts w:ascii="宋体" w:hAnsi="宋体" w:eastAsia="宋体" w:cs="宋体"/>
                <w:snapToGrid w:val="0"/>
                <w:color w:val="000000"/>
                <w:kern w:val="0"/>
                <w:sz w:val="19"/>
                <w:szCs w:val="19"/>
                <w:highlight w:val="yellow"/>
                <w:lang w:val="en-US" w:eastAsia="en-US" w:bidi="ar-SA"/>
              </w:rPr>
            </w:pPr>
            <w:r>
              <w:rPr>
                <w:rFonts w:hint="eastAsia"/>
                <w:highlight w:val="none"/>
                <w:lang w:val="en-US" w:eastAsia="en-US"/>
              </w:rPr>
              <w:t>负责</w:t>
            </w:r>
            <w:r>
              <w:rPr>
                <w:rFonts w:hint="eastAsia"/>
                <w:highlight w:val="none"/>
                <w:lang w:val="en-US" w:eastAsia="zh-CN"/>
              </w:rPr>
              <w:t>公司投资项目、新建及改扩建项目的全流程管理；负责日常检维修项目的土建、防腐项目管理，及造价复核</w:t>
            </w:r>
            <w:r>
              <w:rPr>
                <w:rFonts w:hint="eastAsia"/>
                <w:highlight w:val="none"/>
                <w:lang w:val="en-US" w:eastAsia="en-US"/>
              </w:rPr>
              <w:t>。</w:t>
            </w:r>
          </w:p>
        </w:tc>
        <w:tc>
          <w:tcPr>
            <w:tcW w:w="4834" w:type="dxa"/>
            <w:shd w:val="clear" w:color="auto" w:fill="auto"/>
            <w:vAlign w:val="center"/>
          </w:tcPr>
          <w:p>
            <w:pPr>
              <w:pStyle w:val="7"/>
              <w:spacing w:before="1" w:line="221" w:lineRule="auto"/>
              <w:ind w:left="115" w:leftChars="0" w:right="106" w:rightChars="0"/>
              <w:jc w:val="both"/>
              <w:rPr>
                <w:rFonts w:hint="eastAsia"/>
                <w:color w:val="auto"/>
                <w:spacing w:val="19"/>
                <w:highlight w:val="none"/>
                <w:lang w:val="en-US" w:eastAsia="zh-CN"/>
              </w:rPr>
            </w:pPr>
            <w:r>
              <w:rPr>
                <w:rFonts w:hint="eastAsia"/>
                <w:color w:val="auto"/>
                <w:spacing w:val="19"/>
                <w:highlight w:val="none"/>
                <w:lang w:val="en-US" w:eastAsia="zh-CN"/>
              </w:rPr>
              <w:t>1.熟悉国家建设法规及行业规范，紧密结合公司智能工厂战略，统筹推进新建及改扩建项目的落地实施，确保智能化子系统与主体工程同步设计、同步施工、同步交付。</w:t>
            </w:r>
          </w:p>
          <w:p>
            <w:pPr>
              <w:pStyle w:val="7"/>
              <w:spacing w:before="1" w:line="221" w:lineRule="auto"/>
              <w:ind w:left="115" w:leftChars="0" w:right="106" w:rightChars="0"/>
              <w:jc w:val="both"/>
              <w:rPr>
                <w:rFonts w:hint="eastAsia"/>
                <w:color w:val="auto"/>
                <w:spacing w:val="19"/>
                <w:highlight w:val="none"/>
                <w:lang w:val="en-US" w:eastAsia="zh-CN"/>
              </w:rPr>
            </w:pPr>
            <w:r>
              <w:rPr>
                <w:rFonts w:hint="eastAsia"/>
                <w:color w:val="auto"/>
                <w:spacing w:val="19"/>
                <w:highlight w:val="none"/>
                <w:lang w:val="en-US" w:eastAsia="zh-CN"/>
              </w:rPr>
              <w:t>2.严格遵循上级工程管理制度，全面负责投资项目全生命周期管理，并将数字化管理工具（如项目管理信息系统）嵌入进度、质量、成本等核心环节，实现项目流程的在线化、可视化和可追溯。</w:t>
            </w:r>
          </w:p>
          <w:p>
            <w:pPr>
              <w:pStyle w:val="7"/>
              <w:spacing w:before="1" w:line="221" w:lineRule="auto"/>
              <w:ind w:left="115" w:leftChars="0" w:right="106" w:rightChars="0"/>
              <w:jc w:val="both"/>
              <w:rPr>
                <w:rFonts w:hint="eastAsia"/>
                <w:color w:val="auto"/>
                <w:spacing w:val="19"/>
                <w:highlight w:val="none"/>
                <w:lang w:val="en-US" w:eastAsia="zh-CN"/>
              </w:rPr>
            </w:pPr>
            <w:r>
              <w:rPr>
                <w:rFonts w:hint="eastAsia"/>
                <w:color w:val="auto"/>
                <w:spacing w:val="19"/>
                <w:highlight w:val="none"/>
                <w:lang w:val="en-US" w:eastAsia="zh-CN"/>
              </w:rPr>
              <w:t>3.按照承包商安全管理制度，强化施工现场的风险管控，运用智慧工地监控、AI行为识别等技术手段提升承包商日常安全监管效能；按照管业务必须管安全的要求，落实现场安全管理职责。</w:t>
            </w:r>
          </w:p>
          <w:p>
            <w:pPr>
              <w:pStyle w:val="7"/>
              <w:spacing w:before="1" w:line="221" w:lineRule="auto"/>
              <w:ind w:left="115" w:leftChars="0" w:right="106" w:rightChars="0"/>
              <w:jc w:val="both"/>
              <w:rPr>
                <w:rFonts w:hint="eastAsia"/>
                <w:color w:val="auto"/>
                <w:spacing w:val="19"/>
                <w:highlight w:val="none"/>
                <w:lang w:val="en-US" w:eastAsia="zh-CN"/>
              </w:rPr>
            </w:pPr>
            <w:r>
              <w:rPr>
                <w:rFonts w:hint="eastAsia"/>
                <w:color w:val="auto"/>
                <w:spacing w:val="19"/>
                <w:highlight w:val="none"/>
                <w:lang w:val="en-US" w:eastAsia="zh-CN"/>
              </w:rPr>
              <w:t>4.对公司日常检维修涉及土建施工、防腐施工及部分设备检维修工作开展相关立项、计划编制、施工组织、验收等相关工作。</w:t>
            </w:r>
          </w:p>
          <w:p>
            <w:pPr>
              <w:pStyle w:val="7"/>
              <w:spacing w:before="1" w:line="221" w:lineRule="auto"/>
              <w:ind w:left="115" w:leftChars="0" w:right="106" w:rightChars="0"/>
              <w:jc w:val="both"/>
              <w:rPr>
                <w:rFonts w:hint="eastAsia" w:ascii="宋体" w:hAnsi="宋体" w:eastAsia="宋体" w:cs="宋体"/>
                <w:snapToGrid w:val="0"/>
                <w:color w:val="000000"/>
                <w:kern w:val="0"/>
                <w:sz w:val="19"/>
                <w:szCs w:val="19"/>
                <w:highlight w:val="yellow"/>
                <w:lang w:val="en-US" w:eastAsia="en-US" w:bidi="ar-SA"/>
              </w:rPr>
            </w:pPr>
            <w:r>
              <w:rPr>
                <w:rFonts w:hint="eastAsia"/>
                <w:color w:val="auto"/>
                <w:spacing w:val="19"/>
                <w:highlight w:val="none"/>
                <w:lang w:val="en-US" w:eastAsia="zh-CN"/>
              </w:rPr>
              <w:t>5.开展现场管理检查及相关危险隐患排查，并开展立项整改工作</w:t>
            </w:r>
            <w:r>
              <w:rPr>
                <w:rFonts w:hint="eastAsia"/>
                <w:color w:val="auto"/>
                <w:spacing w:val="19"/>
                <w:highlight w:val="none"/>
              </w:rPr>
              <w:t>。</w:t>
            </w:r>
          </w:p>
        </w:tc>
        <w:tc>
          <w:tcPr>
            <w:tcW w:w="2331" w:type="dxa"/>
            <w:shd w:val="clear" w:color="auto" w:fill="auto"/>
            <w:vAlign w:val="center"/>
          </w:tcPr>
          <w:p>
            <w:pPr>
              <w:pStyle w:val="7"/>
              <w:spacing w:before="62" w:line="214" w:lineRule="auto"/>
              <w:ind w:left="111" w:right="105" w:firstLine="15"/>
              <w:jc w:val="both"/>
              <w:rPr>
                <w:color w:val="auto"/>
                <w:highlight w:val="none"/>
              </w:rPr>
            </w:pPr>
            <w:r>
              <w:rPr>
                <w:color w:val="auto"/>
                <w:spacing w:val="16"/>
                <w:highlight w:val="none"/>
              </w:rPr>
              <w:t>1.</w:t>
            </w:r>
            <w:r>
              <w:rPr>
                <w:rFonts w:hint="eastAsia"/>
                <w:color w:val="auto"/>
                <w:spacing w:val="16"/>
                <w:highlight w:val="none"/>
                <w:lang w:val="en-US" w:eastAsia="zh-CN"/>
              </w:rPr>
              <w:t>具有</w:t>
            </w:r>
            <w:r>
              <w:rPr>
                <w:rFonts w:hint="default"/>
                <w:color w:val="auto"/>
                <w:spacing w:val="16"/>
                <w:highlight w:val="none"/>
                <w:lang w:val="en-US" w:eastAsia="zh-CN"/>
              </w:rPr>
              <w:t>全日制</w:t>
            </w:r>
            <w:r>
              <w:rPr>
                <w:rFonts w:hint="eastAsia"/>
                <w:color w:val="auto"/>
                <w:spacing w:val="16"/>
                <w:highlight w:val="none"/>
                <w:lang w:val="en-US" w:eastAsia="zh-CN"/>
              </w:rPr>
              <w:t>本科</w:t>
            </w:r>
            <w:r>
              <w:rPr>
                <w:rFonts w:hint="default"/>
                <w:color w:val="auto"/>
                <w:spacing w:val="16"/>
                <w:highlight w:val="none"/>
                <w:lang w:val="en-US" w:eastAsia="zh-CN"/>
              </w:rPr>
              <w:t>及以上文化程度</w:t>
            </w:r>
            <w:r>
              <w:rPr>
                <w:color w:val="auto"/>
                <w:spacing w:val="1"/>
                <w:highlight w:val="none"/>
              </w:rPr>
              <w:t>。</w:t>
            </w:r>
          </w:p>
          <w:p>
            <w:pPr>
              <w:pStyle w:val="7"/>
              <w:spacing w:line="228" w:lineRule="auto"/>
              <w:ind w:left="116"/>
              <w:jc w:val="left"/>
              <w:rPr>
                <w:spacing w:val="5"/>
                <w:highlight w:val="none"/>
              </w:rPr>
            </w:pPr>
            <w:r>
              <w:rPr>
                <w:spacing w:val="-2"/>
                <w:highlight w:val="none"/>
              </w:rPr>
              <w:t xml:space="preserve">2. </w:t>
            </w:r>
            <w:r>
              <w:rPr>
                <w:rFonts w:hint="default"/>
                <w:spacing w:val="-2"/>
                <w:highlight w:val="none"/>
                <w:lang w:val="en-US" w:eastAsia="zh-CN"/>
              </w:rPr>
              <w:t>土木</w:t>
            </w:r>
            <w:r>
              <w:rPr>
                <w:rFonts w:hint="eastAsia"/>
                <w:spacing w:val="-2"/>
                <w:highlight w:val="none"/>
                <w:lang w:val="en-US" w:eastAsia="zh-CN"/>
              </w:rPr>
              <w:t>、建筑、工程、机械、设计、智能化</w:t>
            </w:r>
            <w:r>
              <w:rPr>
                <w:rFonts w:hint="default"/>
                <w:spacing w:val="-2"/>
                <w:highlight w:val="none"/>
                <w:lang w:val="en-US" w:eastAsia="zh-CN"/>
              </w:rPr>
              <w:t>相关</w:t>
            </w:r>
            <w:r>
              <w:rPr>
                <w:rFonts w:hint="eastAsia"/>
                <w:spacing w:val="-2"/>
                <w:highlight w:val="none"/>
                <w:lang w:val="en-US" w:eastAsia="zh-CN"/>
              </w:rPr>
              <w:t>或相近</w:t>
            </w:r>
            <w:r>
              <w:rPr>
                <w:rFonts w:hint="default"/>
                <w:spacing w:val="-2"/>
                <w:highlight w:val="none"/>
                <w:lang w:val="en-US" w:eastAsia="zh-CN"/>
              </w:rPr>
              <w:t>专业</w:t>
            </w:r>
            <w:r>
              <w:rPr>
                <w:spacing w:val="5"/>
                <w:highlight w:val="none"/>
              </w:rPr>
              <w:t>。</w:t>
            </w:r>
          </w:p>
          <w:p>
            <w:pPr>
              <w:pStyle w:val="7"/>
              <w:spacing w:before="3" w:line="213" w:lineRule="auto"/>
              <w:ind w:left="113" w:right="105" w:firstLine="1"/>
              <w:jc w:val="both"/>
              <w:rPr>
                <w:rFonts w:hint="default" w:eastAsia="宋体"/>
                <w:spacing w:val="5"/>
                <w:highlight w:val="none"/>
                <w:lang w:val="en-US" w:eastAsia="zh-CN"/>
              </w:rPr>
            </w:pPr>
            <w:r>
              <w:rPr>
                <w:rFonts w:hint="eastAsia"/>
                <w:spacing w:val="5"/>
                <w:highlight w:val="none"/>
                <w:lang w:val="en-US" w:eastAsia="zh-CN"/>
              </w:rPr>
              <w:t>3.具有1年以上工作经验。</w:t>
            </w:r>
          </w:p>
          <w:p>
            <w:pPr>
              <w:pStyle w:val="7"/>
              <w:spacing w:line="228" w:lineRule="auto"/>
              <w:ind w:left="116"/>
              <w:jc w:val="left"/>
              <w:rPr>
                <w:rFonts w:hint="default"/>
                <w:spacing w:val="5"/>
                <w:highlight w:val="none"/>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6" w:hRule="atLeast"/>
        </w:trPr>
        <w:tc>
          <w:tcPr>
            <w:tcW w:w="511" w:type="dxa"/>
            <w:shd w:val="clear" w:color="auto" w:fill="auto"/>
            <w:vAlign w:val="center"/>
          </w:tcPr>
          <w:p>
            <w:pPr>
              <w:pStyle w:val="7"/>
              <w:spacing w:before="61" w:line="256" w:lineRule="exact"/>
              <w:ind w:left="307" w:leftChars="0"/>
              <w:jc w:val="both"/>
              <w:rPr>
                <w:rFonts w:ascii="宋体" w:hAnsi="宋体" w:eastAsia="宋体" w:cs="宋体"/>
                <w:snapToGrid w:val="0"/>
                <w:color w:val="000000"/>
                <w:kern w:val="0"/>
                <w:sz w:val="19"/>
                <w:szCs w:val="19"/>
                <w:lang w:val="en-US" w:eastAsia="en-US" w:bidi="ar-SA"/>
              </w:rPr>
            </w:pPr>
            <w:r>
              <w:rPr>
                <w:position w:val="1"/>
              </w:rPr>
              <w:t>5</w:t>
            </w:r>
          </w:p>
        </w:tc>
        <w:tc>
          <w:tcPr>
            <w:tcW w:w="740" w:type="dxa"/>
            <w:shd w:val="clear" w:color="auto" w:fill="auto"/>
            <w:vAlign w:val="center"/>
          </w:tcPr>
          <w:p>
            <w:pPr>
              <w:pStyle w:val="7"/>
              <w:spacing w:before="61" w:line="218" w:lineRule="auto"/>
              <w:ind w:left="174" w:leftChars="0" w:right="172" w:rightChars="0" w:hanging="3" w:firstLineChars="0"/>
              <w:jc w:val="center"/>
              <w:rPr>
                <w:rFonts w:hint="default" w:ascii="宋体" w:hAnsi="宋体" w:eastAsia="宋体" w:cs="宋体"/>
                <w:snapToGrid w:val="0"/>
                <w:color w:val="000000"/>
                <w:kern w:val="0"/>
                <w:sz w:val="19"/>
                <w:szCs w:val="19"/>
                <w:lang w:val="en-US" w:eastAsia="zh-CN" w:bidi="ar-SA"/>
              </w:rPr>
            </w:pPr>
            <w:r>
              <w:rPr>
                <w:rFonts w:hint="default"/>
                <w:lang w:val="en-US" w:eastAsia="zh-CN"/>
              </w:rPr>
              <w:t>科技创新部生产技术员</w:t>
            </w:r>
          </w:p>
        </w:tc>
        <w:tc>
          <w:tcPr>
            <w:tcW w:w="760" w:type="dxa"/>
            <w:shd w:val="clear" w:color="auto" w:fill="auto"/>
            <w:vAlign w:val="center"/>
          </w:tcPr>
          <w:p>
            <w:pPr>
              <w:pStyle w:val="7"/>
              <w:spacing w:before="61" w:line="257" w:lineRule="exact"/>
              <w:ind w:left="328" w:leftChars="0"/>
              <w:jc w:val="both"/>
              <w:rPr>
                <w:rFonts w:ascii="宋体" w:hAnsi="宋体" w:eastAsia="宋体" w:cs="宋体"/>
                <w:snapToGrid w:val="0"/>
                <w:color w:val="000000"/>
                <w:kern w:val="0"/>
                <w:sz w:val="19"/>
                <w:szCs w:val="19"/>
                <w:lang w:val="en-US" w:eastAsia="en-US" w:bidi="ar-SA"/>
              </w:rPr>
            </w:pPr>
            <w:r>
              <w:rPr>
                <w:position w:val="1"/>
              </w:rPr>
              <w:t>1</w:t>
            </w:r>
          </w:p>
        </w:tc>
        <w:tc>
          <w:tcPr>
            <w:tcW w:w="930" w:type="dxa"/>
            <w:shd w:val="clear" w:color="auto" w:fill="auto"/>
            <w:vAlign w:val="center"/>
          </w:tcPr>
          <w:p>
            <w:pPr>
              <w:pStyle w:val="7"/>
              <w:spacing w:before="61" w:line="216" w:lineRule="auto"/>
              <w:ind w:right="107"/>
              <w:jc w:val="both"/>
              <w:rPr>
                <w:rFonts w:ascii="宋体" w:hAnsi="宋体" w:eastAsia="宋体" w:cs="宋体"/>
                <w:snapToGrid w:val="0"/>
                <w:color w:val="000000"/>
                <w:kern w:val="0"/>
                <w:sz w:val="19"/>
                <w:szCs w:val="19"/>
                <w:highlight w:val="yellow"/>
                <w:lang w:val="en-US" w:eastAsia="en-US" w:bidi="ar-SA"/>
              </w:rPr>
            </w:pPr>
            <w:r>
              <w:rPr>
                <w:rFonts w:hint="eastAsia"/>
                <w:highlight w:val="none"/>
                <w:lang w:val="en-US" w:eastAsia="zh-CN"/>
              </w:rPr>
              <w:t>负责组织公司技术攻关活动；组织科技研发项目的申报和实施</w:t>
            </w:r>
            <w:r>
              <w:rPr>
                <w:rFonts w:hint="eastAsia"/>
                <w:highlight w:val="none"/>
                <w:lang w:val="en-US" w:eastAsia="en-US"/>
              </w:rPr>
              <w:t>。</w:t>
            </w:r>
          </w:p>
        </w:tc>
        <w:tc>
          <w:tcPr>
            <w:tcW w:w="4834" w:type="dxa"/>
            <w:shd w:val="clear" w:color="auto" w:fill="auto"/>
            <w:vAlign w:val="center"/>
          </w:tcPr>
          <w:p>
            <w:pPr>
              <w:pStyle w:val="7"/>
              <w:spacing w:before="2" w:line="221" w:lineRule="auto"/>
              <w:ind w:left="115" w:leftChars="0" w:right="298" w:rightChars="0" w:firstLine="1" w:firstLineChars="0"/>
              <w:jc w:val="both"/>
              <w:rPr>
                <w:rFonts w:hint="eastAsia" w:ascii="宋体" w:hAnsi="宋体" w:eastAsia="宋体" w:cs="宋体"/>
                <w:snapToGrid w:val="0"/>
                <w:color w:val="000000"/>
                <w:kern w:val="0"/>
                <w:sz w:val="19"/>
                <w:szCs w:val="19"/>
                <w:highlight w:val="none"/>
                <w:lang w:val="en-US" w:eastAsia="en-US" w:bidi="ar-SA"/>
              </w:rPr>
            </w:pPr>
            <w:r>
              <w:rPr>
                <w:rFonts w:hint="eastAsia" w:ascii="宋体" w:hAnsi="宋体" w:eastAsia="宋体" w:cs="宋体"/>
                <w:snapToGrid w:val="0"/>
                <w:color w:val="000000"/>
                <w:kern w:val="0"/>
                <w:sz w:val="19"/>
                <w:szCs w:val="19"/>
                <w:highlight w:val="none"/>
                <w:lang w:val="en-US" w:eastAsia="en-US" w:bidi="ar-SA"/>
              </w:rPr>
              <w:t>1.负责公司科技创新项目或技术改造方案的论证、评审、实施。</w:t>
            </w:r>
          </w:p>
          <w:p>
            <w:pPr>
              <w:pStyle w:val="7"/>
              <w:spacing w:before="2" w:line="221" w:lineRule="auto"/>
              <w:ind w:left="115" w:leftChars="0" w:right="298" w:rightChars="0" w:firstLine="1" w:firstLineChars="0"/>
              <w:jc w:val="both"/>
              <w:rPr>
                <w:rFonts w:hint="eastAsia" w:ascii="宋体" w:hAnsi="宋体" w:eastAsia="宋体" w:cs="宋体"/>
                <w:snapToGrid w:val="0"/>
                <w:color w:val="000000"/>
                <w:kern w:val="0"/>
                <w:sz w:val="19"/>
                <w:szCs w:val="19"/>
                <w:highlight w:val="none"/>
                <w:lang w:val="en-US" w:eastAsia="en-US" w:bidi="ar-SA"/>
              </w:rPr>
            </w:pPr>
            <w:r>
              <w:rPr>
                <w:rFonts w:hint="eastAsia" w:ascii="宋体" w:hAnsi="宋体" w:eastAsia="宋体" w:cs="宋体"/>
                <w:snapToGrid w:val="0"/>
                <w:color w:val="000000"/>
                <w:kern w:val="0"/>
                <w:sz w:val="19"/>
                <w:szCs w:val="19"/>
                <w:highlight w:val="none"/>
                <w:lang w:val="en-US" w:eastAsia="en-US" w:bidi="ar-SA"/>
              </w:rPr>
              <w:t>2.负责公司研发计划的编制，健全和完善公司工艺技术改进、研发管理、科技项目申报等管理制度。</w:t>
            </w:r>
          </w:p>
          <w:p>
            <w:pPr>
              <w:pStyle w:val="7"/>
              <w:spacing w:before="2" w:line="221" w:lineRule="auto"/>
              <w:ind w:left="115" w:leftChars="0" w:right="298" w:rightChars="0" w:firstLine="1" w:firstLineChars="0"/>
              <w:jc w:val="both"/>
              <w:rPr>
                <w:rFonts w:hint="eastAsia" w:ascii="宋体" w:hAnsi="宋体" w:eastAsia="宋体" w:cs="宋体"/>
                <w:snapToGrid w:val="0"/>
                <w:color w:val="000000"/>
                <w:kern w:val="0"/>
                <w:sz w:val="19"/>
                <w:szCs w:val="19"/>
                <w:highlight w:val="none"/>
                <w:lang w:val="en-US" w:eastAsia="en-US" w:bidi="ar-SA"/>
              </w:rPr>
            </w:pPr>
            <w:r>
              <w:rPr>
                <w:rFonts w:hint="eastAsia" w:ascii="宋体" w:hAnsi="宋体" w:eastAsia="宋体" w:cs="宋体"/>
                <w:snapToGrid w:val="0"/>
                <w:color w:val="000000"/>
                <w:kern w:val="0"/>
                <w:sz w:val="19"/>
                <w:szCs w:val="19"/>
                <w:highlight w:val="none"/>
                <w:lang w:val="en-US" w:eastAsia="en-US" w:bidi="ar-SA"/>
              </w:rPr>
              <w:t>3.组织科技研发项目的申报和实施。</w:t>
            </w:r>
          </w:p>
          <w:p>
            <w:pPr>
              <w:pStyle w:val="7"/>
              <w:spacing w:before="2" w:line="221" w:lineRule="auto"/>
              <w:ind w:left="115" w:leftChars="0" w:right="298" w:rightChars="0" w:firstLine="1" w:firstLineChars="0"/>
              <w:jc w:val="both"/>
              <w:rPr>
                <w:rFonts w:hint="eastAsia" w:ascii="宋体" w:hAnsi="宋体" w:eastAsia="宋体" w:cs="宋体"/>
                <w:snapToGrid w:val="0"/>
                <w:color w:val="000000"/>
                <w:kern w:val="0"/>
                <w:sz w:val="19"/>
                <w:szCs w:val="19"/>
                <w:highlight w:val="none"/>
                <w:lang w:val="en-US" w:eastAsia="en-US" w:bidi="ar-SA"/>
              </w:rPr>
            </w:pPr>
            <w:r>
              <w:rPr>
                <w:rFonts w:hint="eastAsia" w:ascii="宋体" w:hAnsi="宋体" w:eastAsia="宋体" w:cs="宋体"/>
                <w:snapToGrid w:val="0"/>
                <w:color w:val="000000"/>
                <w:kern w:val="0"/>
                <w:sz w:val="19"/>
                <w:szCs w:val="19"/>
                <w:highlight w:val="none"/>
                <w:lang w:val="en-US" w:eastAsia="en-US" w:bidi="ar-SA"/>
              </w:rPr>
              <w:t>4.参与完善公司标准化管理技术规程的编制与实施。</w:t>
            </w:r>
          </w:p>
          <w:p>
            <w:pPr>
              <w:pStyle w:val="7"/>
              <w:spacing w:before="2" w:line="221" w:lineRule="auto"/>
              <w:ind w:left="115" w:leftChars="0" w:right="298" w:rightChars="0" w:firstLine="1" w:firstLineChars="0"/>
              <w:jc w:val="both"/>
              <w:rPr>
                <w:rFonts w:hint="eastAsia" w:ascii="宋体" w:hAnsi="宋体" w:eastAsia="宋体" w:cs="宋体"/>
                <w:snapToGrid w:val="0"/>
                <w:color w:val="000000"/>
                <w:kern w:val="0"/>
                <w:sz w:val="19"/>
                <w:szCs w:val="19"/>
                <w:highlight w:val="none"/>
                <w:lang w:val="en-US" w:eastAsia="en-US" w:bidi="ar-SA"/>
              </w:rPr>
            </w:pPr>
            <w:r>
              <w:rPr>
                <w:rFonts w:hint="eastAsia" w:ascii="宋体" w:hAnsi="宋体" w:eastAsia="宋体" w:cs="宋体"/>
                <w:snapToGrid w:val="0"/>
                <w:color w:val="000000"/>
                <w:kern w:val="0"/>
                <w:sz w:val="19"/>
                <w:szCs w:val="19"/>
                <w:highlight w:val="none"/>
                <w:lang w:val="en-US" w:eastAsia="en-US" w:bidi="ar-SA"/>
              </w:rPr>
              <w:t>5.参与公司生产过程中产品质量的监督以及过程控制督导工作。</w:t>
            </w:r>
          </w:p>
          <w:p>
            <w:pPr>
              <w:pStyle w:val="7"/>
              <w:spacing w:before="2" w:line="221" w:lineRule="auto"/>
              <w:ind w:left="115" w:leftChars="0" w:right="298" w:rightChars="0" w:firstLine="1" w:firstLineChars="0"/>
              <w:jc w:val="both"/>
              <w:rPr>
                <w:rFonts w:hint="eastAsia" w:ascii="宋体" w:hAnsi="宋体" w:eastAsia="宋体" w:cs="宋体"/>
                <w:snapToGrid w:val="0"/>
                <w:color w:val="000000"/>
                <w:kern w:val="0"/>
                <w:sz w:val="19"/>
                <w:szCs w:val="19"/>
                <w:highlight w:val="yellow"/>
                <w:lang w:val="en-US" w:eastAsia="en-US" w:bidi="ar-SA"/>
              </w:rPr>
            </w:pPr>
            <w:r>
              <w:rPr>
                <w:rFonts w:hint="eastAsia" w:ascii="宋体" w:hAnsi="宋体" w:eastAsia="宋体" w:cs="宋体"/>
                <w:snapToGrid w:val="0"/>
                <w:color w:val="000000"/>
                <w:kern w:val="0"/>
                <w:sz w:val="19"/>
                <w:szCs w:val="19"/>
                <w:highlight w:val="none"/>
                <w:lang w:val="en-US" w:eastAsia="en-US" w:bidi="ar-SA"/>
              </w:rPr>
              <w:t>6.参与公司知识产权管理工作。</w:t>
            </w:r>
          </w:p>
        </w:tc>
        <w:tc>
          <w:tcPr>
            <w:tcW w:w="2331" w:type="dxa"/>
            <w:shd w:val="clear" w:color="auto" w:fill="auto"/>
            <w:vAlign w:val="center"/>
          </w:tcPr>
          <w:p>
            <w:pPr>
              <w:pStyle w:val="7"/>
              <w:spacing w:before="62" w:line="214" w:lineRule="auto"/>
              <w:ind w:left="111" w:right="105" w:firstLine="15"/>
              <w:jc w:val="both"/>
              <w:rPr>
                <w:color w:val="auto"/>
                <w:highlight w:val="none"/>
              </w:rPr>
            </w:pPr>
            <w:r>
              <w:rPr>
                <w:color w:val="auto"/>
                <w:spacing w:val="16"/>
                <w:highlight w:val="none"/>
              </w:rPr>
              <w:t>1.</w:t>
            </w:r>
            <w:r>
              <w:rPr>
                <w:rFonts w:hint="eastAsia"/>
                <w:color w:val="auto"/>
                <w:spacing w:val="16"/>
                <w:highlight w:val="none"/>
                <w:lang w:val="en-US" w:eastAsia="zh-CN"/>
              </w:rPr>
              <w:t>具有</w:t>
            </w:r>
            <w:r>
              <w:rPr>
                <w:rFonts w:hint="default"/>
                <w:color w:val="auto"/>
                <w:spacing w:val="16"/>
                <w:highlight w:val="none"/>
                <w:lang w:val="en-US" w:eastAsia="zh-CN"/>
              </w:rPr>
              <w:t>全日制</w:t>
            </w:r>
            <w:r>
              <w:rPr>
                <w:rFonts w:hint="eastAsia"/>
                <w:color w:val="auto"/>
                <w:spacing w:val="16"/>
                <w:highlight w:val="none"/>
                <w:lang w:val="en-US" w:eastAsia="zh-CN"/>
              </w:rPr>
              <w:t>本科</w:t>
            </w:r>
            <w:r>
              <w:rPr>
                <w:rFonts w:hint="default"/>
                <w:color w:val="auto"/>
                <w:spacing w:val="16"/>
                <w:highlight w:val="none"/>
                <w:lang w:val="en-US" w:eastAsia="zh-CN"/>
              </w:rPr>
              <w:t>及以上文化程度</w:t>
            </w:r>
            <w:r>
              <w:rPr>
                <w:color w:val="auto"/>
                <w:spacing w:val="1"/>
                <w:highlight w:val="none"/>
              </w:rPr>
              <w:t>。</w:t>
            </w:r>
          </w:p>
          <w:p>
            <w:pPr>
              <w:pStyle w:val="7"/>
              <w:spacing w:before="62" w:line="214" w:lineRule="auto"/>
              <w:ind w:left="111" w:right="105" w:firstLine="15"/>
              <w:jc w:val="both"/>
              <w:rPr>
                <w:spacing w:val="5"/>
                <w:highlight w:val="none"/>
              </w:rPr>
            </w:pPr>
            <w:r>
              <w:rPr>
                <w:rFonts w:ascii="宋体" w:hAnsi="宋体" w:eastAsia="宋体" w:cs="宋体"/>
                <w:spacing w:val="16"/>
                <w:highlight w:val="none"/>
              </w:rPr>
              <w:t>2.</w:t>
            </w:r>
            <w:r>
              <w:rPr>
                <w:rFonts w:hint="eastAsia" w:cs="宋体"/>
                <w:spacing w:val="16"/>
                <w:highlight w:val="none"/>
                <w:lang w:val="en-US" w:eastAsia="zh-CN"/>
              </w:rPr>
              <w:t>冶金、化工、机械、自动化、</w:t>
            </w:r>
            <w:r>
              <w:rPr>
                <w:rFonts w:hint="eastAsia"/>
                <w:spacing w:val="-2"/>
                <w:highlight w:val="none"/>
                <w:lang w:val="en-US" w:eastAsia="zh-CN"/>
              </w:rPr>
              <w:t>工程、设计、智能化</w:t>
            </w:r>
            <w:bookmarkStart w:id="0" w:name="_GoBack"/>
            <w:bookmarkEnd w:id="0"/>
            <w:r>
              <w:rPr>
                <w:rFonts w:hint="default"/>
                <w:spacing w:val="-2"/>
                <w:highlight w:val="none"/>
                <w:lang w:val="en-US" w:eastAsia="zh-CN"/>
              </w:rPr>
              <w:t>相关</w:t>
            </w:r>
            <w:r>
              <w:rPr>
                <w:rFonts w:hint="eastAsia"/>
                <w:spacing w:val="-2"/>
                <w:highlight w:val="none"/>
                <w:lang w:val="en-US" w:eastAsia="zh-CN"/>
              </w:rPr>
              <w:t>或相近</w:t>
            </w:r>
            <w:r>
              <w:rPr>
                <w:rFonts w:hint="default"/>
                <w:spacing w:val="-2"/>
                <w:highlight w:val="none"/>
                <w:lang w:val="en-US" w:eastAsia="zh-CN"/>
              </w:rPr>
              <w:t>专业</w:t>
            </w:r>
            <w:r>
              <w:rPr>
                <w:spacing w:val="5"/>
                <w:highlight w:val="none"/>
              </w:rPr>
              <w:t>。</w:t>
            </w:r>
          </w:p>
          <w:p>
            <w:pPr>
              <w:pStyle w:val="7"/>
              <w:spacing w:before="3" w:line="213" w:lineRule="auto"/>
              <w:ind w:left="113" w:right="105" w:firstLine="1"/>
              <w:jc w:val="both"/>
              <w:rPr>
                <w:rFonts w:hint="default" w:eastAsia="宋体"/>
                <w:spacing w:val="5"/>
                <w:highlight w:val="none"/>
                <w:lang w:val="en-US" w:eastAsia="zh-CN"/>
              </w:rPr>
            </w:pPr>
            <w:r>
              <w:rPr>
                <w:rFonts w:hint="eastAsia"/>
                <w:spacing w:val="5"/>
                <w:highlight w:val="none"/>
                <w:lang w:val="en-US" w:eastAsia="zh-CN"/>
              </w:rPr>
              <w:t>3.具有1年以上工作经验。</w:t>
            </w:r>
          </w:p>
          <w:p>
            <w:pPr>
              <w:pStyle w:val="7"/>
              <w:spacing w:before="62" w:line="214" w:lineRule="auto"/>
              <w:ind w:left="111" w:right="105" w:firstLine="15"/>
              <w:jc w:val="both"/>
              <w:rPr>
                <w:spacing w:val="5"/>
                <w:highlight w:val="none"/>
              </w:rPr>
            </w:pPr>
          </w:p>
          <w:p>
            <w:pPr>
              <w:pStyle w:val="7"/>
              <w:spacing w:line="228" w:lineRule="auto"/>
              <w:ind w:left="116"/>
              <w:jc w:val="left"/>
              <w:rPr>
                <w:rFonts w:ascii="宋体" w:hAnsi="宋体" w:eastAsia="宋体" w:cs="宋体"/>
                <w:highlight w:val="none"/>
                <w:lang w:val="en-US" w:eastAsia="en-US"/>
              </w:rPr>
            </w:pPr>
          </w:p>
        </w:tc>
      </w:tr>
    </w:tbl>
    <w:p>
      <w:pPr>
        <w:rPr>
          <w:rFonts w:ascii="Arial"/>
          <w:sz w:val="21"/>
        </w:rPr>
      </w:pPr>
    </w:p>
    <w:sectPr>
      <w:headerReference r:id="rId6" w:type="first"/>
      <w:footerReference r:id="rId9" w:type="first"/>
      <w:footerReference r:id="rId7" w:type="default"/>
      <w:headerReference r:id="rId5" w:type="even"/>
      <w:footerReference r:id="rId8" w:type="even"/>
      <w:pgSz w:w="11906" w:h="16839"/>
      <w:pgMar w:top="1431" w:right="897" w:bottom="1315" w:left="897" w:header="0" w:footer="948"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9D033E"/>
    <w:rsid w:val="01D03B06"/>
    <w:rsid w:val="03AA5FB8"/>
    <w:rsid w:val="046B34EB"/>
    <w:rsid w:val="048168F2"/>
    <w:rsid w:val="06DB43B0"/>
    <w:rsid w:val="07F96E36"/>
    <w:rsid w:val="08595C3E"/>
    <w:rsid w:val="0A247833"/>
    <w:rsid w:val="0B126EBC"/>
    <w:rsid w:val="0C557747"/>
    <w:rsid w:val="0C590490"/>
    <w:rsid w:val="0CDF76AC"/>
    <w:rsid w:val="0D9A325A"/>
    <w:rsid w:val="0DED4FA7"/>
    <w:rsid w:val="0F1D6C2A"/>
    <w:rsid w:val="117B2B3A"/>
    <w:rsid w:val="12576123"/>
    <w:rsid w:val="12C64289"/>
    <w:rsid w:val="13C44C6D"/>
    <w:rsid w:val="15791336"/>
    <w:rsid w:val="16853C7F"/>
    <w:rsid w:val="189C466F"/>
    <w:rsid w:val="1B116C90"/>
    <w:rsid w:val="1B753A98"/>
    <w:rsid w:val="1C427968"/>
    <w:rsid w:val="1D4D111F"/>
    <w:rsid w:val="1EAC7B0E"/>
    <w:rsid w:val="1F4F75EB"/>
    <w:rsid w:val="1F8232BD"/>
    <w:rsid w:val="25D06895"/>
    <w:rsid w:val="27E407E7"/>
    <w:rsid w:val="28171FD2"/>
    <w:rsid w:val="2A055081"/>
    <w:rsid w:val="2C765D7F"/>
    <w:rsid w:val="2CC9146B"/>
    <w:rsid w:val="2CDF1F2B"/>
    <w:rsid w:val="2D757812"/>
    <w:rsid w:val="2F475B9D"/>
    <w:rsid w:val="30046570"/>
    <w:rsid w:val="30342F30"/>
    <w:rsid w:val="314630E4"/>
    <w:rsid w:val="317556E9"/>
    <w:rsid w:val="37AF4CE7"/>
    <w:rsid w:val="396857F4"/>
    <w:rsid w:val="3A9D40B6"/>
    <w:rsid w:val="3B4D3A47"/>
    <w:rsid w:val="3B615742"/>
    <w:rsid w:val="3B8F0274"/>
    <w:rsid w:val="3C6D71CA"/>
    <w:rsid w:val="402E3A57"/>
    <w:rsid w:val="40E9418A"/>
    <w:rsid w:val="425311DE"/>
    <w:rsid w:val="42B47F7E"/>
    <w:rsid w:val="42EE35DB"/>
    <w:rsid w:val="448858FB"/>
    <w:rsid w:val="44897872"/>
    <w:rsid w:val="47444AF8"/>
    <w:rsid w:val="480A1DCD"/>
    <w:rsid w:val="488223C8"/>
    <w:rsid w:val="4A531BFE"/>
    <w:rsid w:val="4A7C29E2"/>
    <w:rsid w:val="4AA70844"/>
    <w:rsid w:val="4B7919E0"/>
    <w:rsid w:val="4C7605FF"/>
    <w:rsid w:val="4DAB5178"/>
    <w:rsid w:val="4F884709"/>
    <w:rsid w:val="51442461"/>
    <w:rsid w:val="51BB5923"/>
    <w:rsid w:val="52BF774F"/>
    <w:rsid w:val="53400F13"/>
    <w:rsid w:val="54591A6E"/>
    <w:rsid w:val="553B2061"/>
    <w:rsid w:val="566A481F"/>
    <w:rsid w:val="581B00C5"/>
    <w:rsid w:val="5889510A"/>
    <w:rsid w:val="5ACD2810"/>
    <w:rsid w:val="5CFA2018"/>
    <w:rsid w:val="5DE570B9"/>
    <w:rsid w:val="5F837712"/>
    <w:rsid w:val="622B611D"/>
    <w:rsid w:val="64F67263"/>
    <w:rsid w:val="6536661A"/>
    <w:rsid w:val="68BC53E1"/>
    <w:rsid w:val="68DB2693"/>
    <w:rsid w:val="6A5B7A7C"/>
    <w:rsid w:val="6ACE6346"/>
    <w:rsid w:val="6C591A7A"/>
    <w:rsid w:val="6CA12DC9"/>
    <w:rsid w:val="6E0D4219"/>
    <w:rsid w:val="6E97757D"/>
    <w:rsid w:val="707F6B7A"/>
    <w:rsid w:val="725503A1"/>
    <w:rsid w:val="75587EE6"/>
    <w:rsid w:val="763A5E7D"/>
    <w:rsid w:val="7743517F"/>
    <w:rsid w:val="779A56C5"/>
    <w:rsid w:val="7A676ADC"/>
    <w:rsid w:val="7A9F24BA"/>
    <w:rsid w:val="7AB90477"/>
    <w:rsid w:val="7BD75A39"/>
    <w:rsid w:val="7C944EF3"/>
    <w:rsid w:val="7E1562E9"/>
    <w:rsid w:val="7F2E0FB4"/>
    <w:rsid w:val="7F3F6AAB"/>
    <w:rsid w:val="7F8055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abc7fd8c-7af6-4d2b-9964-3401c851153f</errorID>
      <errorWord>土建</errorWord>
      <group>L1_Word</group>
      <groupName>字词问题</groupName>
      <ability>L2_Typo</ability>
      <abilityName>字词错误</abilityName>
      <candidateList>
        <item>的土建</item>
      </candidateList>
      <explain/>
      <paraID>  21D66D</paraID>
      <start>12</start>
      <end>14</end>
      <status>ignored</status>
      <modifiedWord/>
      <trackRevisions>false</trackRevisions>
    </reviewItem>
    <reviewItem>
      <errorID>2edc3c05-e3cd-48e9-8d51-e51f98e1a6b4</errorID>
      <errorWord>开展相关</errorWord>
      <group>L1_Grammar</group>
      <groupName>语法问题</groupName>
      <ability>L2_Grammar</ability>
      <abilityName>语法错误</abilityName>
      <candidateList>
        <item>开展</item>
      </candidateList>
      <explain/>
      <paraID>  21D66D</paraID>
      <start>31</start>
      <end>35</end>
      <status>ignored</status>
      <modifiedWord/>
      <trackRevisions>false</trackRevisions>
    </reviewItem>
    <reviewItem>
      <errorID>242dbe3a-cb16-4648-97e7-f82eb647d570</errorID>
      <errorWord>检查及</errorWord>
      <group>L1_Word</group>
      <groupName>字词问题</groupName>
      <ability>L2_Typo</ability>
      <abilityName>字词错误</abilityName>
      <candidateList>
        <item>检查和</item>
      </candidateList>
      <explain/>
      <paraID>60CC8C7B</paraID>
      <start>8</start>
      <end>11</end>
      <status>ignored</status>
      <modifiedWord/>
      <trackRevisions>false</trackRevisions>
    </reviewItem>
    <reviewItem>
      <errorID>d818be71-76eb-4d3e-a9ff-b6276e37e294</errorID>
      <errorWord>开展</errorWord>
      <group>L1_Word</group>
      <groupName>字词问题</groupName>
      <ability>L2_Typo</ability>
      <abilityName>字词错误</abilityName>
      <candidateList>
        <item>进行</item>
      </candidateList>
      <explain/>
      <paraID>60CC8C7B</paraID>
      <start>23</start>
      <end>25</end>
      <status>ignored</status>
      <modifiedWord/>
      <trackRevisions>false</trackRevisions>
    </reviewItem>
    <reviewItem>
      <errorID>02c64ed1-5d36-4e5b-aad1-10928db8f191</errorID>
      <errorWord>整改工作</errorWord>
      <group>L1_Grammar</group>
      <groupName>语法问题</groupName>
      <ability>L2_Grammar</ability>
      <abilityName>语法错误</abilityName>
      <candidateList>
        <item>整改</item>
      </candidateList>
      <explain/>
      <paraID>60CC8C7B</paraID>
      <start>27</start>
      <end>31</end>
      <status>ignored</status>
      <modifiedWord/>
      <trackRevisions>false</trackRevisions>
    </reviewItem>
    <reviewItem>
      <errorID>c160327e-e5a4-4071-9afa-726278b94031</errorID>
      <errorWord>1</errorWord>
      <group>L1_Punc</group>
      <groupName>标点问题</groupName>
      <ability>L2_Punc</ability>
      <abilityName>标点符号检查</abilityName>
      <candidateList>
        <item>1.</item>
      </candidateList>
      <explain/>
      <paraID>75A6C448</paraID>
      <start>0</start>
      <end>1</end>
      <status>ignored</status>
      <modifiedWord/>
      <trackRevisions>false</trackRevisions>
    </reviewItem>
    <reviewItem>
      <errorID>73b69b5e-8d41-4003-9650-0e714e512cce</errorID>
      <errorWord>，</errorWord>
      <group>L1_Word</group>
      <groupName>字词问题</groupName>
      <ability>L2_Typo</ability>
      <abilityName>字词错误</abilityName>
      <candidateList>
        <item>，具</item>
      </candidateList>
      <explain/>
      <paraID>41605881</paraID>
      <start>48</start>
      <end>49</end>
      <status>ignored</status>
      <modifiedWord/>
      <trackRevisions>false</trackRevisions>
    </reviewItem>
  </reviewItems>
  <config/>
</contractReview>
</file>

<file path=customXml/itemProps1.xml><?xml version="1.0" encoding="utf-8"?>
<ds:datastoreItem xmlns:ds="http://schemas.openxmlformats.org/officeDocument/2006/customXml" ds:itemID="{0e3b57af-4a59-48cc-80d0-e3d6612cbf5c}">
  <ds:schemaRefs/>
</ds:datastoreItem>
</file>

<file path=docProps/app.xml><?xml version="1.0" encoding="utf-8"?>
<Properties xmlns="http://schemas.openxmlformats.org/officeDocument/2006/extended-properties" xmlns:vt="http://schemas.openxmlformats.org/officeDocument/2006/docPropsVTypes">
  <Pages>2</Pages>
  <Words>1990</Words>
  <Characters>2036</Characters>
  <TotalTime>0</TotalTime>
  <ScaleCrop>false</ScaleCrop>
  <LinksUpToDate>false</LinksUpToDate>
  <CharactersWithSpaces>2041</CharactersWithSpaces>
  <Application>WPS Office_12.8.0.17004_F1E327BC-269C-435d-A152-05C5408002CA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2026-01-14T12:01:00Z</dcterms:created>
  <dc:creator>葬仪</dc:creator>
  <cp:lastModifiedBy>未定义</cp:lastModifiedBy>
  <dcterms:modified xsi:type="dcterms:W3CDTF">2026-08-17T14:42:22Z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2026-08-03T12:11:12Z</vt:filetime>
  </property>
  <property fmtid="{D5CDD505-2E9C-101B-9397-08002B2CF9AE}" pid="4" name="KSOTemplateDocerSaveRecord">
    <vt:lpwstr>eyJoZGlkIjoiYjJkYjg3MTE1MzIzZjE5Zjk4Mjk5MzYxNGY0ZWI0ZTkiLCJ1c2VySWQiOiIxMzY0NzUxOTQxIn0=</vt:lpwstr>
  </property>
  <property fmtid="{D5CDD505-2E9C-101B-9397-08002B2CF9AE}" pid="5" name="KSOProductBuildVer">
    <vt:lpwstr>2052-12.8.0.17004</vt:lpwstr>
  </property>
  <property fmtid="{D5CDD505-2E9C-101B-9397-08002B2CF9AE}" pid="6" name="ICV">
    <vt:lpwstr>190B50BAE7CD4793AD3DF1FEA565C67A_13</vt:lpwstr>
  </property>
</Properties>
</file>